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A8F1A">
      <w:pPr>
        <w:pStyle w:val="2"/>
        <w:spacing w:line="259" w:lineRule="auto"/>
      </w:pPr>
    </w:p>
    <w:p w14:paraId="0E7AD915">
      <w:pPr>
        <w:pStyle w:val="2"/>
        <w:spacing w:line="259" w:lineRule="auto"/>
      </w:pPr>
    </w:p>
    <w:p w14:paraId="5E411E73">
      <w:pPr>
        <w:pStyle w:val="2"/>
        <w:spacing w:line="259" w:lineRule="auto"/>
      </w:pPr>
    </w:p>
    <w:p w14:paraId="3D7D054A">
      <w:pPr>
        <w:pStyle w:val="2"/>
        <w:spacing w:line="259" w:lineRule="auto"/>
      </w:pPr>
    </w:p>
    <w:p w14:paraId="1C446C3C">
      <w:pPr>
        <w:pStyle w:val="2"/>
        <w:spacing w:line="260" w:lineRule="auto"/>
      </w:pPr>
    </w:p>
    <w:p w14:paraId="664C8DE1">
      <w:pPr>
        <w:pStyle w:val="2"/>
        <w:spacing w:line="260" w:lineRule="auto"/>
      </w:pPr>
    </w:p>
    <w:p w14:paraId="67AF8EB3">
      <w:pPr>
        <w:pStyle w:val="2"/>
        <w:spacing w:line="260" w:lineRule="auto"/>
      </w:pPr>
    </w:p>
    <w:p w14:paraId="5279DE5B">
      <w:pPr>
        <w:spacing w:before="169" w:line="305" w:lineRule="auto"/>
        <w:ind w:left="3181" w:right="663" w:hanging="2396"/>
        <w:jc w:val="center"/>
        <w:outlineLvl w:val="0"/>
        <w:rPr>
          <w:rFonts w:ascii="宋体" w:hAnsi="宋体" w:eastAsia="宋体" w:cs="宋体"/>
          <w:b/>
          <w:bCs/>
          <w:spacing w:val="-7"/>
          <w:sz w:val="52"/>
          <w:szCs w:val="52"/>
          <w:lang w:eastAsia="zh-CN"/>
        </w:rPr>
      </w:pPr>
      <w:r>
        <w:rPr>
          <w:rFonts w:ascii="宋体" w:hAnsi="宋体" w:eastAsia="宋体" w:cs="宋体"/>
          <w:b/>
          <w:bCs/>
          <w:spacing w:val="-7"/>
          <w:sz w:val="52"/>
          <w:szCs w:val="52"/>
          <w:lang w:eastAsia="zh-CN"/>
        </w:rPr>
        <w:t>2025</w:t>
      </w:r>
      <w:r>
        <w:rPr>
          <w:rFonts w:ascii="宋体" w:hAnsi="宋体" w:eastAsia="宋体" w:cs="宋体"/>
          <w:spacing w:val="-114"/>
          <w:sz w:val="52"/>
          <w:szCs w:val="52"/>
          <w:lang w:eastAsia="zh-CN"/>
        </w:rPr>
        <w:t xml:space="preserve"> </w:t>
      </w:r>
      <w:r>
        <w:rPr>
          <w:rFonts w:ascii="宋体" w:hAnsi="宋体" w:eastAsia="宋体" w:cs="宋体"/>
          <w:b/>
          <w:bCs/>
          <w:spacing w:val="-7"/>
          <w:sz w:val="52"/>
          <w:szCs w:val="52"/>
          <w:lang w:eastAsia="zh-CN"/>
        </w:rPr>
        <w:t>年</w:t>
      </w:r>
      <w:r>
        <w:rPr>
          <w:rFonts w:hint="eastAsia" w:ascii="宋体" w:hAnsi="宋体" w:eastAsia="宋体" w:cs="宋体"/>
          <w:b/>
          <w:bCs/>
          <w:spacing w:val="-7"/>
          <w:sz w:val="52"/>
          <w:szCs w:val="52"/>
          <w:lang w:eastAsia="zh-CN"/>
        </w:rPr>
        <w:t>渭南市</w:t>
      </w:r>
      <w:r>
        <w:rPr>
          <w:rFonts w:ascii="宋体" w:hAnsi="宋体" w:eastAsia="宋体" w:cs="宋体"/>
          <w:b/>
          <w:bCs/>
          <w:spacing w:val="-7"/>
          <w:sz w:val="52"/>
          <w:szCs w:val="52"/>
          <w:lang w:eastAsia="zh-CN"/>
        </w:rPr>
        <w:t>职业院校技能</w:t>
      </w:r>
    </w:p>
    <w:p w14:paraId="05C2757A">
      <w:pPr>
        <w:spacing w:before="169" w:line="305" w:lineRule="auto"/>
        <w:ind w:left="3181" w:right="663" w:hanging="2396"/>
        <w:jc w:val="center"/>
        <w:outlineLvl w:val="0"/>
        <w:rPr>
          <w:rFonts w:ascii="宋体" w:hAnsi="宋体" w:eastAsia="宋体" w:cs="宋体"/>
          <w:sz w:val="52"/>
          <w:szCs w:val="52"/>
          <w:lang w:eastAsia="zh-CN"/>
        </w:rPr>
      </w:pPr>
      <w:r>
        <w:rPr>
          <w:rFonts w:hint="eastAsia" w:ascii="宋体" w:hAnsi="宋体" w:eastAsia="宋体" w:cs="宋体"/>
          <w:b/>
          <w:bCs/>
          <w:spacing w:val="-7"/>
          <w:sz w:val="52"/>
          <w:szCs w:val="52"/>
          <w:lang w:eastAsia="zh-CN"/>
        </w:rPr>
        <w:t>大</w:t>
      </w:r>
      <w:r>
        <w:rPr>
          <w:rFonts w:ascii="宋体" w:hAnsi="宋体" w:eastAsia="宋体" w:cs="宋体"/>
          <w:b/>
          <w:bCs/>
          <w:spacing w:val="-7"/>
          <w:sz w:val="52"/>
          <w:szCs w:val="52"/>
          <w:lang w:eastAsia="zh-CN"/>
        </w:rPr>
        <w:t>赛</w:t>
      </w:r>
      <w:r>
        <w:rPr>
          <w:rFonts w:ascii="宋体" w:hAnsi="宋体" w:eastAsia="宋体" w:cs="宋体"/>
          <w:b/>
          <w:bCs/>
          <w:spacing w:val="-6"/>
          <w:sz w:val="52"/>
          <w:szCs w:val="52"/>
          <w:lang w:eastAsia="zh-CN"/>
        </w:rPr>
        <w:t>赛项规程</w:t>
      </w:r>
    </w:p>
    <w:p w14:paraId="387264D1">
      <w:pPr>
        <w:pStyle w:val="2"/>
        <w:spacing w:line="247" w:lineRule="auto"/>
        <w:rPr>
          <w:lang w:eastAsia="zh-CN"/>
        </w:rPr>
      </w:pPr>
    </w:p>
    <w:p w14:paraId="4E51711B">
      <w:pPr>
        <w:pStyle w:val="2"/>
        <w:spacing w:line="248" w:lineRule="auto"/>
        <w:rPr>
          <w:lang w:eastAsia="zh-CN"/>
        </w:rPr>
      </w:pPr>
    </w:p>
    <w:p w14:paraId="185AA5B7">
      <w:pPr>
        <w:pStyle w:val="2"/>
        <w:spacing w:line="248" w:lineRule="auto"/>
        <w:rPr>
          <w:lang w:eastAsia="zh-CN"/>
        </w:rPr>
      </w:pPr>
    </w:p>
    <w:p w14:paraId="356B83FB">
      <w:pPr>
        <w:pStyle w:val="2"/>
        <w:spacing w:line="248" w:lineRule="auto"/>
        <w:rPr>
          <w:lang w:eastAsia="zh-CN"/>
        </w:rPr>
      </w:pPr>
    </w:p>
    <w:p w14:paraId="48F2614E">
      <w:pPr>
        <w:pStyle w:val="2"/>
        <w:spacing w:line="248" w:lineRule="auto"/>
        <w:rPr>
          <w:lang w:eastAsia="zh-CN"/>
        </w:rPr>
      </w:pPr>
    </w:p>
    <w:p w14:paraId="317A8B49">
      <w:pPr>
        <w:pStyle w:val="2"/>
        <w:spacing w:line="248" w:lineRule="auto"/>
        <w:rPr>
          <w:lang w:eastAsia="zh-CN"/>
        </w:rPr>
      </w:pPr>
    </w:p>
    <w:p w14:paraId="2A978618">
      <w:pPr>
        <w:pStyle w:val="2"/>
        <w:spacing w:line="248" w:lineRule="auto"/>
        <w:rPr>
          <w:lang w:eastAsia="zh-CN"/>
        </w:rPr>
      </w:pPr>
    </w:p>
    <w:p w14:paraId="26FDDFA5">
      <w:pPr>
        <w:pStyle w:val="2"/>
        <w:spacing w:line="248" w:lineRule="auto"/>
        <w:rPr>
          <w:lang w:eastAsia="zh-CN"/>
        </w:rPr>
      </w:pPr>
    </w:p>
    <w:p w14:paraId="25186C53">
      <w:pPr>
        <w:pStyle w:val="2"/>
        <w:spacing w:line="248" w:lineRule="auto"/>
        <w:rPr>
          <w:lang w:eastAsia="zh-CN"/>
        </w:rPr>
      </w:pPr>
    </w:p>
    <w:p w14:paraId="656701EA">
      <w:pPr>
        <w:pStyle w:val="2"/>
        <w:spacing w:line="248" w:lineRule="auto"/>
        <w:rPr>
          <w:lang w:eastAsia="zh-CN"/>
        </w:rPr>
      </w:pPr>
    </w:p>
    <w:p w14:paraId="4BDE10A8">
      <w:pPr>
        <w:pStyle w:val="2"/>
        <w:spacing w:line="248" w:lineRule="auto"/>
        <w:rPr>
          <w:lang w:eastAsia="zh-CN"/>
        </w:rPr>
      </w:pPr>
    </w:p>
    <w:p w14:paraId="4109DCDA">
      <w:pPr>
        <w:pStyle w:val="2"/>
        <w:spacing w:line="248" w:lineRule="auto"/>
        <w:rPr>
          <w:lang w:eastAsia="zh-CN"/>
        </w:rPr>
      </w:pPr>
    </w:p>
    <w:p w14:paraId="4A4AAFAD">
      <w:pPr>
        <w:pStyle w:val="2"/>
        <w:spacing w:line="248" w:lineRule="auto"/>
        <w:rPr>
          <w:lang w:eastAsia="zh-CN"/>
        </w:rPr>
      </w:pPr>
    </w:p>
    <w:p w14:paraId="15ACF35D">
      <w:pPr>
        <w:pStyle w:val="2"/>
        <w:spacing w:line="248" w:lineRule="auto"/>
        <w:rPr>
          <w:lang w:eastAsia="zh-CN"/>
        </w:rPr>
      </w:pPr>
    </w:p>
    <w:p w14:paraId="1505F6FC">
      <w:pPr>
        <w:pStyle w:val="2"/>
        <w:spacing w:line="248" w:lineRule="auto"/>
        <w:rPr>
          <w:lang w:eastAsia="zh-CN"/>
        </w:rPr>
      </w:pPr>
    </w:p>
    <w:p w14:paraId="02E5A7CB">
      <w:pPr>
        <w:pStyle w:val="2"/>
        <w:spacing w:line="248" w:lineRule="auto"/>
        <w:rPr>
          <w:lang w:eastAsia="zh-CN"/>
        </w:rPr>
      </w:pPr>
    </w:p>
    <w:p w14:paraId="329F847E">
      <w:pPr>
        <w:pStyle w:val="2"/>
        <w:spacing w:line="248" w:lineRule="auto"/>
        <w:rPr>
          <w:lang w:eastAsia="zh-CN"/>
        </w:rPr>
      </w:pPr>
    </w:p>
    <w:p w14:paraId="506F2EF6">
      <w:pPr>
        <w:pStyle w:val="2"/>
        <w:spacing w:line="248" w:lineRule="auto"/>
        <w:rPr>
          <w:lang w:eastAsia="zh-CN"/>
        </w:rPr>
      </w:pPr>
    </w:p>
    <w:p w14:paraId="07DC81B8">
      <w:pPr>
        <w:pStyle w:val="2"/>
        <w:spacing w:line="248" w:lineRule="auto"/>
        <w:rPr>
          <w:lang w:eastAsia="zh-CN"/>
        </w:rPr>
      </w:pPr>
    </w:p>
    <w:p w14:paraId="483FC01B">
      <w:pPr>
        <w:pStyle w:val="2"/>
        <w:spacing w:line="248" w:lineRule="auto"/>
        <w:rPr>
          <w:lang w:eastAsia="zh-CN"/>
        </w:rPr>
      </w:pPr>
    </w:p>
    <w:p w14:paraId="5204A79A">
      <w:pPr>
        <w:pStyle w:val="2"/>
        <w:spacing w:line="248" w:lineRule="auto"/>
        <w:rPr>
          <w:lang w:eastAsia="zh-CN"/>
        </w:rPr>
      </w:pPr>
    </w:p>
    <w:p w14:paraId="38512261">
      <w:pPr>
        <w:pStyle w:val="2"/>
        <w:spacing w:line="248" w:lineRule="auto"/>
        <w:rPr>
          <w:lang w:eastAsia="zh-CN"/>
        </w:rPr>
      </w:pPr>
    </w:p>
    <w:p w14:paraId="09989CB0">
      <w:pPr>
        <w:pStyle w:val="2"/>
        <w:spacing w:line="248" w:lineRule="auto"/>
        <w:rPr>
          <w:lang w:eastAsia="zh-CN"/>
        </w:rPr>
      </w:pPr>
    </w:p>
    <w:p w14:paraId="00FA5801">
      <w:pPr>
        <w:spacing w:before="314" w:line="408" w:lineRule="auto"/>
        <w:ind w:left="1735" w:right="1012"/>
        <w:rPr>
          <w:rFonts w:hint="eastAsia" w:ascii="黑体" w:hAnsi="黑体" w:eastAsia="黑体" w:cs="黑体"/>
          <w:spacing w:val="7"/>
          <w:sz w:val="31"/>
          <w:szCs w:val="31"/>
          <w:u w:val="single"/>
          <w:lang w:eastAsia="zh-CN"/>
        </w:rPr>
      </w:pPr>
      <w:r>
        <w:rPr>
          <w:rFonts w:ascii="黑体" w:hAnsi="黑体" w:eastAsia="黑体" w:cs="黑体"/>
          <w:spacing w:val="3"/>
          <w:sz w:val="31"/>
          <w:szCs w:val="31"/>
          <w:lang w:eastAsia="zh-CN"/>
        </w:rPr>
        <w:t>赛项组别：</w:t>
      </w:r>
      <w:r>
        <w:rPr>
          <w:rFonts w:ascii="黑体" w:hAnsi="黑体" w:eastAsia="黑体" w:cs="黑体"/>
          <w:spacing w:val="10"/>
          <w:sz w:val="31"/>
          <w:szCs w:val="31"/>
          <w:u w:val="single"/>
          <w:lang w:eastAsia="zh-CN"/>
        </w:rPr>
        <w:t xml:space="preserve">   </w:t>
      </w:r>
      <w:r>
        <w:rPr>
          <w:rFonts w:ascii="黑体" w:hAnsi="黑体" w:eastAsia="黑体" w:cs="黑体"/>
          <w:spacing w:val="3"/>
          <w:sz w:val="31"/>
          <w:szCs w:val="31"/>
          <w:u w:val="single"/>
          <w:lang w:eastAsia="zh-CN"/>
        </w:rPr>
        <w:t>中职组</w:t>
      </w:r>
      <w:r>
        <w:rPr>
          <w:rFonts w:ascii="黑体" w:hAnsi="黑体" w:eastAsia="黑体" w:cs="黑体"/>
          <w:spacing w:val="5"/>
          <w:sz w:val="31"/>
          <w:szCs w:val="31"/>
          <w:u w:val="single"/>
          <w:lang w:eastAsia="zh-CN"/>
        </w:rPr>
        <w:t xml:space="preserve">           </w:t>
      </w:r>
      <w:r>
        <w:rPr>
          <w:rFonts w:hint="eastAsia" w:ascii="黑体" w:hAnsi="黑体" w:eastAsia="黑体" w:cs="黑体"/>
          <w:spacing w:val="5"/>
          <w:sz w:val="31"/>
          <w:szCs w:val="31"/>
          <w:u w:val="single"/>
          <w:lang w:eastAsia="zh-CN"/>
        </w:rPr>
        <w:t xml:space="preserve"> </w:t>
      </w:r>
      <w:r>
        <w:rPr>
          <w:rFonts w:ascii="黑体" w:hAnsi="黑体" w:eastAsia="黑体" w:cs="黑体"/>
          <w:spacing w:val="5"/>
          <w:sz w:val="31"/>
          <w:szCs w:val="31"/>
          <w:u w:val="single"/>
          <w:lang w:eastAsia="zh-CN"/>
        </w:rPr>
        <w:t xml:space="preserve"> </w:t>
      </w:r>
      <w:r>
        <w:rPr>
          <w:rFonts w:hint="eastAsia" w:ascii="黑体" w:hAnsi="黑体" w:eastAsia="黑体" w:cs="黑体"/>
          <w:spacing w:val="5"/>
          <w:sz w:val="31"/>
          <w:szCs w:val="31"/>
          <w:u w:val="single"/>
          <w:lang w:eastAsia="zh-CN"/>
        </w:rPr>
        <w:t xml:space="preserve">  </w:t>
      </w:r>
      <w:r>
        <w:rPr>
          <w:rFonts w:ascii="黑体" w:hAnsi="黑体" w:eastAsia="黑体" w:cs="黑体"/>
          <w:spacing w:val="6"/>
          <w:sz w:val="31"/>
          <w:szCs w:val="31"/>
          <w:lang w:eastAsia="zh-CN"/>
        </w:rPr>
        <w:t xml:space="preserve"> </w:t>
      </w:r>
      <w:r>
        <w:rPr>
          <w:rFonts w:hint="eastAsia" w:ascii="黑体" w:hAnsi="黑体" w:eastAsia="黑体" w:cs="黑体"/>
          <w:spacing w:val="6"/>
          <w:sz w:val="31"/>
          <w:szCs w:val="31"/>
          <w:lang w:eastAsia="zh-CN"/>
        </w:rPr>
        <w:t xml:space="preserve"> </w:t>
      </w:r>
      <w:r>
        <w:rPr>
          <w:rFonts w:ascii="黑体" w:hAnsi="黑体" w:eastAsia="黑体" w:cs="黑体"/>
          <w:spacing w:val="7"/>
          <w:sz w:val="31"/>
          <w:szCs w:val="31"/>
          <w:lang w:eastAsia="zh-CN"/>
        </w:rPr>
        <w:t>赛项名称：</w:t>
      </w:r>
      <w:r>
        <w:rPr>
          <w:rFonts w:ascii="黑体" w:hAnsi="黑体" w:eastAsia="黑体" w:cs="黑体"/>
          <w:spacing w:val="7"/>
          <w:sz w:val="31"/>
          <w:szCs w:val="31"/>
          <w:u w:val="single"/>
          <w:lang w:eastAsia="zh-CN"/>
        </w:rPr>
        <w:t xml:space="preserve">   </w:t>
      </w:r>
      <w:r>
        <w:rPr>
          <w:rFonts w:hint="eastAsia" w:ascii="黑体" w:hAnsi="黑体" w:eastAsia="黑体" w:cs="黑体"/>
          <w:spacing w:val="7"/>
          <w:sz w:val="31"/>
          <w:szCs w:val="31"/>
          <w:u w:val="single"/>
          <w:lang w:eastAsia="zh-CN"/>
        </w:rPr>
        <w:t xml:space="preserve">移动应用与开发   </w:t>
      </w:r>
      <w:r>
        <w:rPr>
          <w:rFonts w:ascii="黑体" w:hAnsi="黑体" w:eastAsia="黑体" w:cs="黑体"/>
          <w:spacing w:val="7"/>
          <w:sz w:val="31"/>
          <w:szCs w:val="31"/>
          <w:u w:val="single"/>
          <w:lang w:eastAsia="zh-CN"/>
        </w:rPr>
        <w:t xml:space="preserve">   </w:t>
      </w:r>
      <w:r>
        <w:rPr>
          <w:rFonts w:hint="eastAsia" w:ascii="黑体" w:hAnsi="黑体" w:eastAsia="黑体" w:cs="黑体"/>
          <w:spacing w:val="7"/>
          <w:sz w:val="31"/>
          <w:szCs w:val="31"/>
          <w:u w:val="single"/>
          <w:lang w:eastAsia="zh-CN"/>
        </w:rPr>
        <w:t xml:space="preserve"> </w:t>
      </w:r>
      <w:r>
        <w:rPr>
          <w:rFonts w:ascii="黑体" w:hAnsi="黑体" w:eastAsia="黑体" w:cs="黑体"/>
          <w:spacing w:val="7"/>
          <w:sz w:val="31"/>
          <w:szCs w:val="31"/>
          <w:lang w:eastAsia="zh-CN"/>
        </w:rPr>
        <w:t>归属赛道：</w:t>
      </w:r>
      <w:r>
        <w:rPr>
          <w:rFonts w:ascii="黑体" w:hAnsi="黑体" w:eastAsia="黑体" w:cs="黑体"/>
          <w:spacing w:val="7"/>
          <w:sz w:val="31"/>
          <w:szCs w:val="31"/>
          <w:u w:val="single"/>
          <w:lang w:eastAsia="zh-CN"/>
        </w:rPr>
        <w:t xml:space="preserve">   </w:t>
      </w:r>
      <w:r>
        <w:rPr>
          <w:rFonts w:hint="eastAsia" w:ascii="黑体" w:hAnsi="黑体" w:eastAsia="黑体" w:cs="黑体"/>
          <w:spacing w:val="7"/>
          <w:sz w:val="31"/>
          <w:szCs w:val="31"/>
          <w:u w:val="single"/>
          <w:lang w:eastAsia="zh-CN"/>
        </w:rPr>
        <w:t>电子信息大类</w:t>
      </w:r>
      <w:r>
        <w:rPr>
          <w:rFonts w:ascii="黑体" w:hAnsi="黑体" w:eastAsia="黑体" w:cs="黑体"/>
          <w:spacing w:val="1"/>
          <w:sz w:val="31"/>
          <w:szCs w:val="31"/>
          <w:u w:val="single"/>
          <w:lang w:eastAsia="zh-CN"/>
        </w:rPr>
        <w:t xml:space="preserve">      </w:t>
      </w:r>
      <w:r>
        <w:rPr>
          <w:rFonts w:hint="eastAsia" w:ascii="黑体" w:hAnsi="黑体" w:eastAsia="黑体" w:cs="黑体"/>
          <w:spacing w:val="1"/>
          <w:sz w:val="31"/>
          <w:szCs w:val="31"/>
          <w:u w:val="single"/>
          <w:lang w:eastAsia="zh-CN"/>
        </w:rPr>
        <w:t xml:space="preserve"> </w:t>
      </w:r>
      <w:r>
        <w:rPr>
          <w:rFonts w:ascii="黑体" w:hAnsi="黑体" w:eastAsia="黑体" w:cs="黑体"/>
          <w:spacing w:val="1"/>
          <w:sz w:val="31"/>
          <w:szCs w:val="31"/>
          <w:u w:val="single"/>
          <w:lang w:eastAsia="zh-CN"/>
        </w:rPr>
        <w:t xml:space="preserve"> </w:t>
      </w:r>
      <w:r>
        <w:rPr>
          <w:rFonts w:hint="eastAsia" w:ascii="黑体" w:hAnsi="黑体" w:eastAsia="黑体" w:cs="黑体"/>
          <w:spacing w:val="1"/>
          <w:sz w:val="31"/>
          <w:szCs w:val="31"/>
          <w:u w:val="single"/>
          <w:lang w:eastAsia="zh-CN"/>
        </w:rPr>
        <w:t xml:space="preserve"> </w:t>
      </w:r>
    </w:p>
    <w:p w14:paraId="29DF2A58">
      <w:pPr>
        <w:spacing w:before="46" w:line="228" w:lineRule="auto"/>
        <w:ind w:left="1730"/>
        <w:rPr>
          <w:rFonts w:hint="eastAsia" w:ascii="黑体" w:hAnsi="黑体" w:eastAsia="黑体" w:cs="黑体"/>
          <w:sz w:val="31"/>
          <w:szCs w:val="31"/>
          <w:lang w:eastAsia="zh-CN"/>
        </w:rPr>
      </w:pPr>
      <w:r>
        <w:rPr>
          <w:rFonts w:ascii="黑体" w:hAnsi="黑体" w:eastAsia="黑体" w:cs="黑体"/>
          <w:spacing w:val="8"/>
          <w:sz w:val="31"/>
          <w:szCs w:val="31"/>
          <w:lang w:eastAsia="zh-CN"/>
        </w:rPr>
        <w:t>对接产业：</w:t>
      </w:r>
      <w:r>
        <w:rPr>
          <w:rFonts w:ascii="黑体" w:hAnsi="黑体" w:eastAsia="黑体" w:cs="黑体"/>
          <w:spacing w:val="8"/>
          <w:sz w:val="31"/>
          <w:szCs w:val="31"/>
          <w:u w:val="single"/>
          <w:lang w:eastAsia="zh-CN"/>
        </w:rPr>
        <w:t xml:space="preserve">   </w:t>
      </w:r>
      <w:r>
        <w:rPr>
          <w:rFonts w:hint="eastAsia" w:ascii="黑体" w:hAnsi="黑体" w:eastAsia="黑体" w:cs="黑体"/>
          <w:spacing w:val="8"/>
          <w:sz w:val="31"/>
          <w:szCs w:val="31"/>
          <w:u w:val="single"/>
          <w:lang w:eastAsia="zh-CN"/>
        </w:rPr>
        <w:t xml:space="preserve">IT产业    </w:t>
      </w:r>
      <w:r>
        <w:rPr>
          <w:rFonts w:ascii="黑体" w:hAnsi="黑体" w:eastAsia="黑体" w:cs="黑体"/>
          <w:sz w:val="31"/>
          <w:szCs w:val="31"/>
          <w:u w:val="single"/>
          <w:lang w:eastAsia="zh-CN"/>
        </w:rPr>
        <w:t xml:space="preserve"> </w:t>
      </w:r>
      <w:r>
        <w:rPr>
          <w:rFonts w:hint="eastAsia" w:ascii="黑体" w:hAnsi="黑体" w:eastAsia="黑体" w:cs="黑体"/>
          <w:sz w:val="31"/>
          <w:szCs w:val="31"/>
          <w:u w:val="single"/>
          <w:lang w:eastAsia="zh-CN"/>
        </w:rPr>
        <w:t xml:space="preserve">  </w:t>
      </w:r>
      <w:r>
        <w:rPr>
          <w:rFonts w:ascii="黑体" w:hAnsi="黑体" w:eastAsia="黑体" w:cs="黑体"/>
          <w:sz w:val="31"/>
          <w:szCs w:val="31"/>
          <w:u w:val="single"/>
          <w:lang w:eastAsia="zh-CN"/>
        </w:rPr>
        <w:t xml:space="preserve"> </w:t>
      </w:r>
      <w:r>
        <w:rPr>
          <w:rFonts w:hint="eastAsia" w:ascii="黑体" w:hAnsi="黑体" w:eastAsia="黑体" w:cs="黑体"/>
          <w:sz w:val="31"/>
          <w:szCs w:val="31"/>
          <w:u w:val="single"/>
          <w:lang w:eastAsia="zh-CN"/>
        </w:rPr>
        <w:t xml:space="preserve">       </w:t>
      </w:r>
    </w:p>
    <w:p w14:paraId="112846E4">
      <w:pPr>
        <w:spacing w:line="228" w:lineRule="auto"/>
        <w:rPr>
          <w:rFonts w:ascii="黑体" w:hAnsi="黑体" w:eastAsia="黑体" w:cs="黑体"/>
          <w:sz w:val="31"/>
          <w:szCs w:val="31"/>
          <w:lang w:eastAsia="zh-CN"/>
        </w:rPr>
        <w:sectPr>
          <w:pgSz w:w="11906" w:h="16839"/>
          <w:pgMar w:top="1431" w:right="1785" w:bottom="0" w:left="1785" w:header="0" w:footer="0" w:gutter="0"/>
          <w:cols w:space="720" w:num="1"/>
        </w:sectPr>
      </w:pPr>
    </w:p>
    <w:p w14:paraId="32272430">
      <w:pPr>
        <w:spacing w:before="101" w:line="227" w:lineRule="auto"/>
        <w:ind w:left="638"/>
        <w:outlineLvl w:val="0"/>
        <w:rPr>
          <w:rFonts w:ascii="黑体" w:hAnsi="黑体" w:eastAsia="黑体" w:cs="黑体"/>
          <w:sz w:val="31"/>
          <w:szCs w:val="31"/>
          <w:lang w:eastAsia="zh-CN"/>
        </w:rPr>
      </w:pPr>
      <w:r>
        <w:rPr>
          <w:rFonts w:ascii="黑体" w:hAnsi="黑体" w:eastAsia="黑体" w:cs="黑体"/>
          <w:spacing w:val="6"/>
          <w:sz w:val="31"/>
          <w:szCs w:val="31"/>
          <w:lang w:eastAsia="zh-CN"/>
        </w:rPr>
        <w:t>一、竞赛目的</w:t>
      </w:r>
    </w:p>
    <w:p w14:paraId="1FC0E38C">
      <w:pPr>
        <w:spacing w:before="335" w:line="328" w:lineRule="auto"/>
        <w:ind w:right="8" w:firstLine="648"/>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本赛项重点考查参赛选手在移动应用与开发实际工程项目中的综合分析能力、界面设计能力、编码能力、文档编写能力、创意创新能力、产品测试能力，通过比赛展现移动应用技术与服务等专业学生的技能与风采，使教师和学生更全面地了解行业企业岗位对学生职业技能的最新要求，提升移动应用技术与服务等专业人才培养质量和就业质量。通过大赛搭建校企合作平台，引导更多行业企业参与校企合作，深化产教融合，提升人才培养质量，使职业院校能更深入地了解产业的发展趋势以及产业对</w:t>
      </w:r>
      <w:r>
        <w:rPr>
          <w:rFonts w:ascii="仿宋" w:hAnsi="仿宋" w:eastAsia="仿宋" w:cs="仿宋"/>
          <w:spacing w:val="8"/>
          <w:sz w:val="31"/>
          <w:szCs w:val="31"/>
          <w:lang w:eastAsia="zh-CN"/>
        </w:rPr>
        <w:t>IT</w:t>
      </w:r>
      <w:r>
        <w:rPr>
          <w:rFonts w:hint="eastAsia" w:ascii="仿宋" w:hAnsi="仿宋" w:eastAsia="仿宋" w:cs="仿宋"/>
          <w:spacing w:val="8"/>
          <w:sz w:val="31"/>
          <w:szCs w:val="31"/>
          <w:lang w:eastAsia="zh-CN"/>
        </w:rPr>
        <w:t>人才的需求与标准，引领移动应用技术与服务及相关专业改革与建设，以适应互联网</w:t>
      </w:r>
      <w:r>
        <w:rPr>
          <w:rFonts w:ascii="仿宋" w:hAnsi="仿宋" w:eastAsia="仿宋" w:cs="仿宋"/>
          <w:spacing w:val="8"/>
          <w:sz w:val="31"/>
          <w:szCs w:val="31"/>
          <w:lang w:eastAsia="zh-CN"/>
        </w:rPr>
        <w:t>+</w:t>
      </w:r>
      <w:r>
        <w:rPr>
          <w:rFonts w:hint="eastAsia" w:ascii="仿宋" w:hAnsi="仿宋" w:eastAsia="仿宋" w:cs="仿宋"/>
          <w:spacing w:val="8"/>
          <w:sz w:val="31"/>
          <w:szCs w:val="31"/>
          <w:lang w:eastAsia="zh-CN"/>
        </w:rPr>
        <w:t>、移动互联、云计算、大数据、人工智能技术的发展，促进我国信息产业技术的改进与升级。</w:t>
      </w:r>
    </w:p>
    <w:p w14:paraId="5F455633">
      <w:pPr>
        <w:spacing w:before="210" w:line="227" w:lineRule="auto"/>
        <w:ind w:left="638"/>
        <w:outlineLvl w:val="0"/>
        <w:rPr>
          <w:rFonts w:ascii="黑体" w:hAnsi="黑体" w:eastAsia="黑体" w:cs="黑体"/>
          <w:sz w:val="31"/>
          <w:szCs w:val="31"/>
          <w:lang w:eastAsia="zh-CN"/>
        </w:rPr>
      </w:pPr>
      <w:r>
        <w:rPr>
          <w:rFonts w:ascii="黑体" w:hAnsi="黑体" w:eastAsia="黑体" w:cs="黑体"/>
          <w:spacing w:val="6"/>
          <w:sz w:val="31"/>
          <w:szCs w:val="31"/>
          <w:lang w:eastAsia="zh-CN"/>
        </w:rPr>
        <w:t>二、竞赛内容</w:t>
      </w:r>
    </w:p>
    <w:p w14:paraId="283987DC">
      <w:pPr>
        <w:spacing w:line="560" w:lineRule="exact"/>
        <w:ind w:firstLine="643" w:firstLineChars="200"/>
        <w:rPr>
          <w:rFonts w:hint="eastAsia" w:ascii="楷体" w:hAnsi="楷体" w:eastAsia="楷体" w:cs="楷体"/>
          <w:b/>
          <w:bCs/>
          <w:sz w:val="32"/>
          <w:szCs w:val="32"/>
          <w:lang w:eastAsia="zh-CN" w:bidi="ar"/>
        </w:rPr>
      </w:pPr>
      <w:r>
        <w:rPr>
          <w:rFonts w:hint="eastAsia" w:ascii="楷体" w:hAnsi="楷体" w:eastAsia="楷体" w:cs="楷体"/>
          <w:b/>
          <w:bCs/>
          <w:sz w:val="32"/>
          <w:szCs w:val="32"/>
          <w:lang w:eastAsia="zh-CN" w:bidi="ar"/>
        </w:rPr>
        <w:t>（一）项目内容</w:t>
      </w:r>
    </w:p>
    <w:p w14:paraId="409B9AE0">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参赛队结合专业要求，围绕生产、管理、服务一线岗位实际需要和实践要求，立足技能创新，基于学校专业优势和特点，自主确定参赛项目名称，自主设计参赛项目内容，自主选择参赛设备。</w:t>
      </w:r>
    </w:p>
    <w:p w14:paraId="30D2E2DF">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1.项目内容设计</w:t>
      </w:r>
    </w:p>
    <w:p w14:paraId="37931462">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应围绕“技能水平、职业素养、应用价值、团队合作、创新创意”要素，进行参赛项目的内容设计。技能水平方面应能体现选手技能熟练度、难易度及解决 问题的复杂度等；职业素养方面应能体现良好的职业道德、 职业精神、工匠精神等；应用价值方面应能体现解决生产、 生活一线实际问题或困难以及创造社会经济价值的情况；团队合作方面应能够体现分工明确、紧密协作、各司其职、高效沟通、统筹安排等能力；创新创意方面应能体现创新意识、创新理念及技能创新点。</w:t>
      </w:r>
    </w:p>
    <w:p w14:paraId="3FD3875C">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2.参赛设备选择</w:t>
      </w:r>
    </w:p>
    <w:p w14:paraId="193D2274">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参赛所需设备和材料不做统一要求，赛点学校公布可用于比赛的设备和材料清单供参赛队伍选择，参赛队根据赛点学校公布的清单，自主决定设备是否自带。如自带设备及材料，须在比赛日前三天将自带设备及材料清单确认书打包发至252473374@qq.com邮箱，经裁判及承办学校审核确认可行后进场，现场设备技术保障谁提供谁负责。</w:t>
      </w:r>
    </w:p>
    <w:p w14:paraId="37CD5048">
      <w:pPr>
        <w:spacing w:line="560" w:lineRule="exact"/>
        <w:ind w:firstLine="643" w:firstLineChars="200"/>
        <w:rPr>
          <w:rFonts w:hint="eastAsia" w:ascii="仿宋" w:hAnsi="仿宋" w:eastAsia="仿宋" w:cs="仿宋"/>
          <w:b/>
          <w:bCs/>
          <w:sz w:val="32"/>
          <w:szCs w:val="32"/>
          <w:lang w:eastAsia="zh-CN" w:bidi="ar"/>
        </w:rPr>
      </w:pPr>
      <w:r>
        <w:rPr>
          <w:rFonts w:hint="eastAsia" w:ascii="楷体" w:hAnsi="楷体" w:eastAsia="楷体" w:cs="楷体"/>
          <w:b/>
          <w:bCs/>
          <w:sz w:val="32"/>
          <w:szCs w:val="32"/>
          <w:lang w:eastAsia="zh-CN" w:bidi="ar"/>
        </w:rPr>
        <w:t>（二）项目呈现</w:t>
      </w:r>
    </w:p>
    <w:p w14:paraId="0C79E0C7">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参赛队伍根据工作任务，按团队成员分工，同步进行技能操作和现场讲解。技能操作重点展示专业技能熟练程度、规范程度以及解决技术难题的创新能力，现场讲解主要介绍总体思路、技能要点、主要成果、项目创新等。比赛时长由各参赛队伍根据项目实际需要确定，不超过1小时，在技能操作的同时，对关键技术环节安排适当讲解。具体实施由赛点学校组织，各参赛队依次比赛。</w:t>
      </w:r>
    </w:p>
    <w:p w14:paraId="4066D9A6">
      <w:pPr>
        <w:spacing w:before="101" w:line="227" w:lineRule="auto"/>
        <w:ind w:left="639"/>
        <w:outlineLvl w:val="0"/>
        <w:rPr>
          <w:rFonts w:ascii="黑体" w:hAnsi="黑体" w:eastAsia="黑体" w:cs="黑体"/>
          <w:sz w:val="31"/>
          <w:szCs w:val="31"/>
          <w:lang w:eastAsia="zh-CN"/>
        </w:rPr>
      </w:pPr>
      <w:r>
        <w:rPr>
          <w:rFonts w:ascii="黑体" w:hAnsi="黑体" w:eastAsia="黑体" w:cs="黑体"/>
          <w:spacing w:val="6"/>
          <w:sz w:val="31"/>
          <w:szCs w:val="31"/>
          <w:lang w:eastAsia="zh-CN"/>
        </w:rPr>
        <w:t>三、竞赛时间</w:t>
      </w:r>
    </w:p>
    <w:p w14:paraId="5327C347">
      <w:pPr>
        <w:spacing w:before="333" w:line="318" w:lineRule="auto"/>
        <w:ind w:left="4" w:right="2" w:firstLine="638"/>
        <w:rPr>
          <w:rFonts w:ascii="仿宋" w:hAnsi="仿宋" w:eastAsia="仿宋" w:cs="仿宋"/>
          <w:sz w:val="31"/>
          <w:szCs w:val="31"/>
          <w:lang w:eastAsia="zh-CN"/>
        </w:rPr>
      </w:pPr>
      <w:r>
        <w:rPr>
          <w:rFonts w:hint="eastAsia" w:ascii="仿宋" w:hAnsi="仿宋" w:eastAsia="仿宋" w:cs="仿宋"/>
          <w:spacing w:val="8"/>
          <w:sz w:val="31"/>
          <w:szCs w:val="31"/>
          <w:lang w:eastAsia="zh-CN"/>
        </w:rPr>
        <w:t>本赛项比赛时长可由各参赛队根据项目实际需要确定，不超过 1 小时。</w:t>
      </w:r>
    </w:p>
    <w:p w14:paraId="27E29249">
      <w:pPr>
        <w:spacing w:before="32" w:line="227" w:lineRule="auto"/>
        <w:ind w:left="651"/>
        <w:rPr>
          <w:rFonts w:ascii="黑体" w:hAnsi="黑体" w:eastAsia="黑体" w:cs="黑体"/>
          <w:sz w:val="31"/>
          <w:szCs w:val="31"/>
          <w:lang w:eastAsia="zh-CN"/>
        </w:rPr>
      </w:pPr>
      <w:r>
        <w:rPr>
          <w:rFonts w:ascii="黑体" w:hAnsi="黑体" w:eastAsia="黑体" w:cs="黑体"/>
          <w:spacing w:val="4"/>
          <w:sz w:val="31"/>
          <w:szCs w:val="31"/>
          <w:lang w:eastAsia="zh-CN"/>
        </w:rPr>
        <w:t>四、竞赛规则</w:t>
      </w:r>
    </w:p>
    <w:p w14:paraId="1EEAD038">
      <w:pPr>
        <w:pStyle w:val="2"/>
        <w:spacing w:line="318" w:lineRule="auto"/>
        <w:rPr>
          <w:lang w:eastAsia="zh-CN"/>
        </w:rPr>
      </w:pPr>
    </w:p>
    <w:p w14:paraId="2E324A76">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（一）参赛资格。</w:t>
      </w:r>
    </w:p>
    <w:p w14:paraId="33D9C383">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参见《关于举办2025年渭南市职业院校技能大赛的通知》相关参赛资格要求</w:t>
      </w:r>
    </w:p>
    <w:p w14:paraId="3365B54F">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（二</w:t>
      </w:r>
      <w:bookmarkStart w:id="1" w:name="_GoBack"/>
      <w:bookmarkEnd w:id="1"/>
      <w:r>
        <w:rPr>
          <w:rFonts w:hint="eastAsia" w:ascii="仿宋" w:hAnsi="仿宋" w:eastAsia="仿宋" w:cs="仿宋"/>
          <w:spacing w:val="8"/>
          <w:sz w:val="31"/>
          <w:szCs w:val="31"/>
          <w:lang w:eastAsia="zh-CN"/>
        </w:rPr>
        <w:t>）组队方式。</w:t>
      </w:r>
    </w:p>
    <w:p w14:paraId="4EFE7DFC">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每支参赛队由 2-4名选手组成，不得跨校组队，每支参赛团队可配 2名指导教师，指导教师须为本校在职教师。</w:t>
      </w:r>
    </w:p>
    <w:p w14:paraId="5DB897FB">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（三）遵循准则。</w:t>
      </w:r>
    </w:p>
    <w:p w14:paraId="680DFB68">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1. 学生必须持本人身份证和参赛证参加比赛。</w:t>
      </w:r>
    </w:p>
    <w:p w14:paraId="45E3DA8D">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2.参赛选手出场顺序、位置由抽签决定，不得擅自变更、调整。</w:t>
      </w:r>
    </w:p>
    <w:p w14:paraId="05F65EAE">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3.参赛选手按时进入赛场，并按照指定位号参加比赛。迟到15 分钟者，取消比赛资格。</w:t>
      </w:r>
    </w:p>
    <w:p w14:paraId="2173A933">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4.选手在比赛过程中不得擅自离开赛场，如有特殊情况，需 经裁判同意。选手若需休息、饮水或去洗手间等，耗用时间计算在比赛时间内。</w:t>
      </w:r>
    </w:p>
    <w:p w14:paraId="09E5F6A4">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5. 比赛结束时，参赛选手应立即停止操作，不得以任何理由拖延比赛时间。</w:t>
      </w:r>
    </w:p>
    <w:p w14:paraId="02BF0729">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五、竞赛环境</w:t>
      </w:r>
    </w:p>
    <w:p w14:paraId="644E70D0">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（一）竞赛环境安静、整洁。须设立紧急疏散通道，医疗服务站。</w:t>
      </w:r>
    </w:p>
    <w:p w14:paraId="1CC11683">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（二）比赛场地可容纳至少一组队同时比赛，且配备满足赛项比赛所需的设施。</w:t>
      </w:r>
    </w:p>
    <w:p w14:paraId="6D04E0E4">
      <w:pPr>
        <w:spacing w:before="335" w:line="328" w:lineRule="auto"/>
        <w:ind w:right="8" w:firstLine="648"/>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（三）赛场有志愿服务人员、配备医护人员，同时有治安人员维护比赛现场秩序与卫生。</w:t>
      </w:r>
    </w:p>
    <w:p w14:paraId="186F5A20">
      <w:pPr>
        <w:spacing w:before="333" w:line="228" w:lineRule="auto"/>
        <w:ind w:left="645"/>
        <w:outlineLvl w:val="0"/>
        <w:rPr>
          <w:rFonts w:ascii="黑体" w:hAnsi="黑体" w:eastAsia="黑体" w:cs="黑体"/>
          <w:sz w:val="31"/>
          <w:szCs w:val="31"/>
          <w:lang w:eastAsia="zh-CN"/>
        </w:rPr>
      </w:pPr>
      <w:r>
        <w:rPr>
          <w:rFonts w:ascii="黑体" w:hAnsi="黑体" w:eastAsia="黑体" w:cs="黑体"/>
          <w:spacing w:val="6"/>
          <w:sz w:val="31"/>
          <w:szCs w:val="31"/>
          <w:lang w:eastAsia="zh-CN"/>
        </w:rPr>
        <w:t>六、技术规范</w:t>
      </w:r>
    </w:p>
    <w:p w14:paraId="5DAB3874">
      <w:pPr>
        <w:spacing w:before="335" w:line="317" w:lineRule="auto"/>
        <w:ind w:left="3" w:right="2" w:firstLine="637"/>
        <w:rPr>
          <w:rFonts w:ascii="仿宋" w:hAnsi="仿宋" w:eastAsia="仿宋" w:cs="仿宋"/>
          <w:spacing w:val="8"/>
          <w:sz w:val="31"/>
          <w:szCs w:val="31"/>
          <w:lang w:eastAsia="zh-CN"/>
        </w:rPr>
      </w:pPr>
      <w:r>
        <w:rPr>
          <w:rFonts w:ascii="仿宋" w:hAnsi="仿宋" w:eastAsia="仿宋" w:cs="仿宋"/>
          <w:spacing w:val="5"/>
          <w:sz w:val="31"/>
          <w:szCs w:val="31"/>
          <w:lang w:eastAsia="zh-CN"/>
        </w:rPr>
        <w:t>《</w:t>
      </w:r>
      <w:r>
        <w:rPr>
          <w:rFonts w:hint="eastAsia" w:ascii="仿宋" w:hAnsi="仿宋" w:eastAsia="仿宋" w:cs="仿宋"/>
          <w:spacing w:val="5"/>
          <w:sz w:val="31"/>
          <w:szCs w:val="31"/>
          <w:lang w:eastAsia="zh-CN"/>
        </w:rPr>
        <w:t>移动应用与开发</w:t>
      </w:r>
      <w:r>
        <w:rPr>
          <w:rFonts w:ascii="仿宋" w:hAnsi="仿宋" w:eastAsia="仿宋" w:cs="仿宋"/>
          <w:spacing w:val="5"/>
          <w:sz w:val="31"/>
          <w:szCs w:val="31"/>
          <w:lang w:eastAsia="zh-CN"/>
        </w:rPr>
        <w:t>》赛项是以教育部颁布的</w:t>
      </w:r>
      <w:r>
        <w:rPr>
          <w:rFonts w:ascii="仿宋" w:hAnsi="仿宋" w:eastAsia="仿宋" w:cs="仿宋"/>
          <w:spacing w:val="4"/>
          <w:sz w:val="31"/>
          <w:szCs w:val="31"/>
          <w:lang w:eastAsia="zh-CN"/>
        </w:rPr>
        <w:t>职业学校相关专</w:t>
      </w:r>
      <w:r>
        <w:rPr>
          <w:rFonts w:ascii="仿宋" w:hAnsi="仿宋" w:eastAsia="仿宋" w:cs="仿宋"/>
          <w:sz w:val="31"/>
          <w:szCs w:val="31"/>
          <w:lang w:eastAsia="zh-CN"/>
        </w:rPr>
        <w:t xml:space="preserve"> </w:t>
      </w:r>
      <w:r>
        <w:rPr>
          <w:rFonts w:ascii="仿宋" w:hAnsi="仿宋" w:eastAsia="仿宋" w:cs="仿宋"/>
          <w:spacing w:val="8"/>
          <w:sz w:val="31"/>
          <w:szCs w:val="31"/>
          <w:lang w:eastAsia="zh-CN"/>
        </w:rPr>
        <w:t>业教学指导方案和国家职业标准规定</w:t>
      </w:r>
      <w:r>
        <w:rPr>
          <w:rFonts w:hint="eastAsia" w:ascii="仿宋" w:hAnsi="仿宋" w:eastAsia="仿宋" w:cs="仿宋"/>
          <w:spacing w:val="8"/>
          <w:sz w:val="31"/>
          <w:szCs w:val="31"/>
          <w:lang w:eastAsia="zh-CN"/>
        </w:rPr>
        <w:t>（见表</w:t>
      </w:r>
      <w:r>
        <w:rPr>
          <w:rFonts w:hint="eastAsia" w:ascii="仿宋" w:hAnsi="仿宋" w:eastAsia="仿宋" w:cs="仿宋"/>
          <w:spacing w:val="8"/>
          <w:sz w:val="31"/>
          <w:szCs w:val="31"/>
          <w:lang w:val="en-US" w:eastAsia="zh-CN"/>
        </w:rPr>
        <w:t>1）</w:t>
      </w:r>
      <w:r>
        <w:rPr>
          <w:rFonts w:ascii="仿宋" w:hAnsi="仿宋" w:eastAsia="仿宋" w:cs="仿宋"/>
          <w:spacing w:val="8"/>
          <w:sz w:val="31"/>
          <w:szCs w:val="31"/>
          <w:lang w:eastAsia="zh-CN"/>
        </w:rPr>
        <w:t>的技能要求为标准。</w:t>
      </w:r>
    </w:p>
    <w:p w14:paraId="38D6E444">
      <w:pPr>
        <w:spacing w:before="335" w:line="317" w:lineRule="auto"/>
        <w:ind w:left="3" w:right="2" w:firstLine="637"/>
        <w:jc w:val="center"/>
        <w:rPr>
          <w:rFonts w:hint="default" w:ascii="仿宋" w:hAnsi="仿宋" w:eastAsia="仿宋" w:cs="仿宋"/>
          <w:b/>
          <w:bCs/>
          <w:spacing w:val="8"/>
          <w:sz w:val="28"/>
          <w:szCs w:val="28"/>
          <w:lang w:val="en-US" w:eastAsia="zh-CN"/>
        </w:rPr>
      </w:pPr>
      <w:r>
        <w:rPr>
          <w:rFonts w:hint="eastAsia" w:ascii="仿宋" w:hAnsi="仿宋" w:eastAsia="仿宋" w:cs="仿宋"/>
          <w:b/>
          <w:bCs/>
          <w:spacing w:val="8"/>
          <w:sz w:val="28"/>
          <w:szCs w:val="28"/>
          <w:lang w:eastAsia="zh-CN"/>
        </w:rPr>
        <w:t>表</w:t>
      </w:r>
      <w:r>
        <w:rPr>
          <w:rFonts w:hint="eastAsia" w:ascii="仿宋" w:hAnsi="仿宋" w:eastAsia="仿宋" w:cs="仿宋"/>
          <w:b/>
          <w:bCs/>
          <w:spacing w:val="8"/>
          <w:sz w:val="28"/>
          <w:szCs w:val="28"/>
          <w:lang w:val="en-US" w:eastAsia="zh-CN"/>
        </w:rPr>
        <w:t xml:space="preserve">1 </w:t>
      </w:r>
      <w:r>
        <w:rPr>
          <w:rFonts w:ascii="仿宋" w:hAnsi="仿宋" w:eastAsia="仿宋" w:cs="仿宋"/>
          <w:b/>
          <w:bCs/>
          <w:spacing w:val="5"/>
          <w:sz w:val="28"/>
          <w:szCs w:val="28"/>
          <w:lang w:eastAsia="zh-CN"/>
        </w:rPr>
        <w:t>《</w:t>
      </w:r>
      <w:r>
        <w:rPr>
          <w:rFonts w:hint="eastAsia" w:ascii="仿宋" w:hAnsi="仿宋" w:eastAsia="仿宋" w:cs="仿宋"/>
          <w:b/>
          <w:bCs/>
          <w:spacing w:val="5"/>
          <w:sz w:val="28"/>
          <w:szCs w:val="28"/>
          <w:lang w:eastAsia="zh-CN"/>
        </w:rPr>
        <w:t>移动应用与开发</w:t>
      </w:r>
      <w:r>
        <w:rPr>
          <w:rFonts w:ascii="仿宋" w:hAnsi="仿宋" w:eastAsia="仿宋" w:cs="仿宋"/>
          <w:b/>
          <w:bCs/>
          <w:spacing w:val="5"/>
          <w:sz w:val="28"/>
          <w:szCs w:val="28"/>
          <w:lang w:eastAsia="zh-CN"/>
        </w:rPr>
        <w:t>》赛项</w:t>
      </w:r>
      <w:r>
        <w:rPr>
          <w:rFonts w:hint="eastAsia" w:ascii="仿宋" w:hAnsi="仿宋" w:eastAsia="仿宋" w:cs="仿宋"/>
          <w:b/>
          <w:bCs/>
          <w:spacing w:val="5"/>
          <w:sz w:val="28"/>
          <w:szCs w:val="28"/>
          <w:lang w:eastAsia="zh-CN"/>
        </w:rPr>
        <w:t>各模块要求</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1249"/>
        <w:gridCol w:w="6403"/>
      </w:tblGrid>
      <w:tr w14:paraId="271A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15" w:type="dxa"/>
            <w:noWrap w:val="0"/>
            <w:vAlign w:val="center"/>
          </w:tcPr>
          <w:p w14:paraId="6DCB5DC2">
            <w:pPr>
              <w:widowControl w:val="0"/>
              <w:kinsoku/>
              <w:autoSpaceDE/>
              <w:autoSpaceDN/>
              <w:ind w:right="210" w:rightChars="100"/>
              <w:jc w:val="center"/>
              <w:textAlignment w:val="auto"/>
              <w:rPr>
                <w:rFonts w:hint="eastAsia" w:ascii="仿宋_GB2312" w:hAnsi="仿宋_GB2312" w:eastAsia="仿宋_GB2312" w:cs="仿宋_GB2312"/>
                <w:b/>
                <w:snapToGrid/>
                <w:color w:val="auto"/>
                <w:kern w:val="2"/>
                <w:sz w:val="24"/>
                <w:szCs w:val="24"/>
                <w:lang w:eastAsia="zh-CN"/>
              </w:rPr>
            </w:pPr>
            <w:r>
              <w:rPr>
                <w:rFonts w:hint="eastAsia" w:ascii="仿宋_GB2312" w:hAnsi="仿宋_GB2312" w:eastAsia="仿宋_GB2312" w:cs="仿宋_GB2312"/>
                <w:b/>
                <w:snapToGrid/>
                <w:color w:val="auto"/>
                <w:kern w:val="2"/>
                <w:sz w:val="24"/>
                <w:szCs w:val="24"/>
                <w:lang w:eastAsia="zh-CN"/>
              </w:rPr>
              <w:t>序号</w:t>
            </w:r>
          </w:p>
        </w:tc>
        <w:tc>
          <w:tcPr>
            <w:tcW w:w="1249" w:type="dxa"/>
            <w:noWrap w:val="0"/>
            <w:vAlign w:val="center"/>
          </w:tcPr>
          <w:p w14:paraId="4A76241D">
            <w:pPr>
              <w:widowControl w:val="0"/>
              <w:kinsoku/>
              <w:autoSpaceDE/>
              <w:autoSpaceDN/>
              <w:ind w:right="210" w:rightChars="100"/>
              <w:jc w:val="center"/>
              <w:textAlignment w:val="auto"/>
              <w:rPr>
                <w:rFonts w:hint="eastAsia" w:ascii="仿宋_GB2312" w:hAnsi="仿宋_GB2312" w:eastAsia="仿宋_GB2312" w:cs="仿宋_GB2312"/>
                <w:b/>
                <w:snapToGrid/>
                <w:color w:val="auto"/>
                <w:kern w:val="2"/>
                <w:sz w:val="24"/>
                <w:szCs w:val="24"/>
                <w:lang w:eastAsia="zh-CN"/>
              </w:rPr>
            </w:pPr>
            <w:r>
              <w:rPr>
                <w:rFonts w:hint="eastAsia" w:ascii="仿宋_GB2312" w:hAnsi="仿宋_GB2312" w:eastAsia="仿宋_GB2312" w:cs="仿宋_GB2312"/>
                <w:b/>
                <w:snapToGrid/>
                <w:color w:val="auto"/>
                <w:kern w:val="2"/>
                <w:sz w:val="24"/>
                <w:szCs w:val="24"/>
                <w:lang w:eastAsia="zh-CN"/>
              </w:rPr>
              <w:t>分类</w:t>
            </w:r>
          </w:p>
        </w:tc>
        <w:tc>
          <w:tcPr>
            <w:tcW w:w="6403" w:type="dxa"/>
            <w:noWrap w:val="0"/>
            <w:vAlign w:val="center"/>
          </w:tcPr>
          <w:p w14:paraId="0A83ACB8">
            <w:pPr>
              <w:widowControl w:val="0"/>
              <w:kinsoku/>
              <w:autoSpaceDE/>
              <w:autoSpaceDN/>
              <w:ind w:right="210" w:rightChars="100"/>
              <w:jc w:val="center"/>
              <w:textAlignment w:val="auto"/>
              <w:rPr>
                <w:rFonts w:hint="eastAsia" w:ascii="仿宋_GB2312" w:hAnsi="仿宋_GB2312" w:eastAsia="仿宋_GB2312" w:cs="仿宋_GB2312"/>
                <w:b/>
                <w:snapToGrid/>
                <w:color w:val="auto"/>
                <w:kern w:val="2"/>
                <w:sz w:val="24"/>
                <w:szCs w:val="24"/>
                <w:lang w:eastAsia="zh-CN"/>
              </w:rPr>
            </w:pPr>
            <w:r>
              <w:rPr>
                <w:rFonts w:hint="eastAsia" w:ascii="仿宋_GB2312" w:hAnsi="仿宋_GB2312" w:eastAsia="仿宋_GB2312" w:cs="仿宋_GB2312"/>
                <w:b/>
                <w:snapToGrid/>
                <w:color w:val="auto"/>
                <w:kern w:val="2"/>
                <w:sz w:val="24"/>
                <w:szCs w:val="24"/>
                <w:lang w:eastAsia="zh-CN"/>
              </w:rPr>
              <w:t>具体要求</w:t>
            </w:r>
          </w:p>
        </w:tc>
      </w:tr>
      <w:tr w14:paraId="56021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15" w:type="dxa"/>
            <w:noWrap w:val="0"/>
            <w:vAlign w:val="center"/>
          </w:tcPr>
          <w:p w14:paraId="3F6DAEF3">
            <w:pPr>
              <w:spacing w:before="335" w:line="317" w:lineRule="auto"/>
              <w:ind w:right="2" w:firstLine="250" w:firstLineChars="100"/>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1</w:t>
            </w:r>
          </w:p>
        </w:tc>
        <w:tc>
          <w:tcPr>
            <w:tcW w:w="1249" w:type="dxa"/>
            <w:noWrap w:val="0"/>
            <w:vAlign w:val="center"/>
          </w:tcPr>
          <w:p w14:paraId="4098EC92">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界面设计</w:t>
            </w:r>
          </w:p>
        </w:tc>
        <w:tc>
          <w:tcPr>
            <w:tcW w:w="6403" w:type="dxa"/>
            <w:noWrap w:val="0"/>
            <w:vAlign w:val="center"/>
          </w:tcPr>
          <w:p w14:paraId="6BDD6C0C">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掌握图像工具软件处理和设计图片，如Photoshop；掌握原型设计设计工具，如Adobe XD</w:t>
            </w:r>
          </w:p>
        </w:tc>
      </w:tr>
      <w:tr w14:paraId="0754F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15" w:type="dxa"/>
            <w:noWrap w:val="0"/>
            <w:vAlign w:val="center"/>
          </w:tcPr>
          <w:p w14:paraId="24536522">
            <w:pPr>
              <w:spacing w:before="335" w:line="317" w:lineRule="auto"/>
              <w:ind w:right="2" w:firstLine="250" w:firstLineChars="100"/>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2</w:t>
            </w:r>
          </w:p>
        </w:tc>
        <w:tc>
          <w:tcPr>
            <w:tcW w:w="1249" w:type="dxa"/>
            <w:noWrap w:val="0"/>
            <w:vAlign w:val="center"/>
          </w:tcPr>
          <w:p w14:paraId="085B95A7">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编程语言</w:t>
            </w:r>
          </w:p>
        </w:tc>
        <w:tc>
          <w:tcPr>
            <w:tcW w:w="6403" w:type="dxa"/>
            <w:noWrap w:val="0"/>
            <w:vAlign w:val="center"/>
          </w:tcPr>
          <w:p w14:paraId="3EC5B72E">
            <w:pPr>
              <w:spacing w:before="335" w:line="317" w:lineRule="auto"/>
              <w:ind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掌握至少一种编程语言，如Java等。</w:t>
            </w:r>
          </w:p>
        </w:tc>
      </w:tr>
      <w:tr w14:paraId="5B9B5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15" w:type="dxa"/>
            <w:noWrap w:val="0"/>
            <w:vAlign w:val="center"/>
          </w:tcPr>
          <w:p w14:paraId="2863F59A">
            <w:pPr>
              <w:spacing w:before="335" w:line="317" w:lineRule="auto"/>
              <w:ind w:right="2" w:firstLine="250" w:firstLineChars="100"/>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3</w:t>
            </w:r>
          </w:p>
        </w:tc>
        <w:tc>
          <w:tcPr>
            <w:tcW w:w="1249" w:type="dxa"/>
            <w:noWrap w:val="0"/>
            <w:vAlign w:val="center"/>
          </w:tcPr>
          <w:p w14:paraId="413214B5">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数据库技术</w:t>
            </w:r>
          </w:p>
        </w:tc>
        <w:tc>
          <w:tcPr>
            <w:tcW w:w="6403" w:type="dxa"/>
            <w:noWrap w:val="0"/>
            <w:vAlign w:val="center"/>
          </w:tcPr>
          <w:p w14:paraId="66F3AF14">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了解关系型数据库，如MySQL，掌握基本的SQL语句和数据库设计方法。</w:t>
            </w:r>
          </w:p>
        </w:tc>
      </w:tr>
      <w:tr w14:paraId="64DAE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15" w:type="dxa"/>
            <w:noWrap w:val="0"/>
            <w:vAlign w:val="center"/>
          </w:tcPr>
          <w:p w14:paraId="2AB43523">
            <w:pPr>
              <w:spacing w:before="335" w:line="317" w:lineRule="auto"/>
              <w:ind w:right="2" w:firstLine="250" w:firstLineChars="100"/>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4</w:t>
            </w:r>
          </w:p>
        </w:tc>
        <w:tc>
          <w:tcPr>
            <w:tcW w:w="1249" w:type="dxa"/>
            <w:noWrap w:val="0"/>
            <w:vAlign w:val="center"/>
          </w:tcPr>
          <w:p w14:paraId="3AB15657">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Web开发技术</w:t>
            </w:r>
          </w:p>
        </w:tc>
        <w:tc>
          <w:tcPr>
            <w:tcW w:w="6403" w:type="dxa"/>
            <w:noWrap w:val="0"/>
            <w:vAlign w:val="center"/>
          </w:tcPr>
          <w:p w14:paraId="4B973701">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掌握Web开发技术，如HTML、CSS、JavaScript、Ajax等。</w:t>
            </w:r>
          </w:p>
        </w:tc>
      </w:tr>
      <w:tr w14:paraId="07F05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15" w:type="dxa"/>
            <w:noWrap w:val="0"/>
            <w:vAlign w:val="center"/>
          </w:tcPr>
          <w:p w14:paraId="2A4156C1">
            <w:pPr>
              <w:spacing w:before="335" w:line="317" w:lineRule="auto"/>
              <w:ind w:right="2" w:firstLine="250" w:firstLineChars="100"/>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5</w:t>
            </w:r>
          </w:p>
        </w:tc>
        <w:tc>
          <w:tcPr>
            <w:tcW w:w="1249" w:type="dxa"/>
            <w:noWrap w:val="0"/>
            <w:vAlign w:val="center"/>
          </w:tcPr>
          <w:p w14:paraId="60998C85">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操作系统</w:t>
            </w:r>
          </w:p>
        </w:tc>
        <w:tc>
          <w:tcPr>
            <w:tcW w:w="6403" w:type="dxa"/>
            <w:noWrap w:val="0"/>
            <w:vAlign w:val="center"/>
          </w:tcPr>
          <w:p w14:paraId="2677C130">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熟悉操作系统的原理和常用命令，如Windows、Linux等。</w:t>
            </w:r>
          </w:p>
        </w:tc>
      </w:tr>
      <w:tr w14:paraId="5C0E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15" w:type="dxa"/>
            <w:noWrap w:val="0"/>
            <w:vAlign w:val="center"/>
          </w:tcPr>
          <w:p w14:paraId="45113ADC">
            <w:pPr>
              <w:spacing w:before="335" w:line="317" w:lineRule="auto"/>
              <w:ind w:right="2" w:firstLine="250" w:firstLineChars="100"/>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6</w:t>
            </w:r>
          </w:p>
        </w:tc>
        <w:tc>
          <w:tcPr>
            <w:tcW w:w="1249" w:type="dxa"/>
            <w:noWrap w:val="0"/>
            <w:vAlign w:val="center"/>
          </w:tcPr>
          <w:p w14:paraId="5A5A1515">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网络通信</w:t>
            </w:r>
          </w:p>
        </w:tc>
        <w:tc>
          <w:tcPr>
            <w:tcW w:w="6403" w:type="dxa"/>
            <w:noWrap w:val="0"/>
            <w:vAlign w:val="center"/>
          </w:tcPr>
          <w:p w14:paraId="301E8AE0">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熟悉网络通信协议和网络编程技术，如TCP/IP、HTTP等。</w:t>
            </w:r>
          </w:p>
        </w:tc>
      </w:tr>
      <w:tr w14:paraId="04E4B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15" w:type="dxa"/>
            <w:noWrap w:val="0"/>
            <w:vAlign w:val="center"/>
          </w:tcPr>
          <w:p w14:paraId="59355D84">
            <w:pPr>
              <w:spacing w:before="335" w:line="317" w:lineRule="auto"/>
              <w:ind w:right="2" w:firstLine="250" w:firstLineChars="100"/>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7</w:t>
            </w:r>
          </w:p>
        </w:tc>
        <w:tc>
          <w:tcPr>
            <w:tcW w:w="1249" w:type="dxa"/>
            <w:noWrap w:val="0"/>
            <w:vAlign w:val="center"/>
          </w:tcPr>
          <w:p w14:paraId="02307038">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软件工程</w:t>
            </w:r>
          </w:p>
        </w:tc>
        <w:tc>
          <w:tcPr>
            <w:tcW w:w="6403" w:type="dxa"/>
            <w:noWrap w:val="0"/>
            <w:vAlign w:val="center"/>
          </w:tcPr>
          <w:p w14:paraId="6F2CCE71">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了解基本的软件开发流程和方法，如需求分析、软件设计、编码实现、测试等。</w:t>
            </w:r>
          </w:p>
        </w:tc>
      </w:tr>
      <w:tr w14:paraId="5BA7A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15" w:type="dxa"/>
            <w:noWrap w:val="0"/>
            <w:vAlign w:val="center"/>
          </w:tcPr>
          <w:p w14:paraId="5067E3AE">
            <w:pPr>
              <w:spacing w:before="335" w:line="317" w:lineRule="auto"/>
              <w:ind w:right="2" w:firstLine="250" w:firstLineChars="100"/>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8</w:t>
            </w:r>
          </w:p>
        </w:tc>
        <w:tc>
          <w:tcPr>
            <w:tcW w:w="1249" w:type="dxa"/>
            <w:noWrap w:val="0"/>
            <w:vAlign w:val="center"/>
          </w:tcPr>
          <w:p w14:paraId="18F5620A">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软件测试</w:t>
            </w:r>
          </w:p>
        </w:tc>
        <w:tc>
          <w:tcPr>
            <w:tcW w:w="6403" w:type="dxa"/>
            <w:noWrap w:val="0"/>
            <w:vAlign w:val="center"/>
          </w:tcPr>
          <w:p w14:paraId="02917CA6">
            <w:pPr>
              <w:spacing w:before="335" w:line="317" w:lineRule="auto"/>
              <w:ind w:left="3" w:right="2"/>
              <w:jc w:val="both"/>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了解基本的软件测试方法和技巧，如单元测试、集成测试等，掌握基本的测试流程和工具。</w:t>
            </w:r>
          </w:p>
        </w:tc>
      </w:tr>
    </w:tbl>
    <w:p w14:paraId="7320D914">
      <w:pPr>
        <w:spacing w:before="55" w:line="318" w:lineRule="auto"/>
        <w:ind w:right="2" w:firstLine="635"/>
        <w:rPr>
          <w:rFonts w:hint="eastAsia" w:ascii="仿宋" w:hAnsi="仿宋" w:eastAsia="仿宋" w:cs="仿宋"/>
          <w:sz w:val="31"/>
          <w:szCs w:val="31"/>
          <w:lang w:eastAsia="zh-CN"/>
        </w:rPr>
        <w:sectPr>
          <w:pgSz w:w="11906" w:h="16839"/>
          <w:pgMar w:top="1431" w:right="1473" w:bottom="0" w:left="1606" w:header="0" w:footer="0" w:gutter="0"/>
          <w:cols w:space="720" w:num="1"/>
        </w:sectPr>
      </w:pPr>
    </w:p>
    <w:p w14:paraId="28B65840">
      <w:pPr>
        <w:spacing w:before="209" w:line="228" w:lineRule="auto"/>
        <w:ind w:left="634"/>
        <w:outlineLvl w:val="0"/>
        <w:rPr>
          <w:rFonts w:ascii="黑体" w:hAnsi="黑体" w:eastAsia="黑体" w:cs="黑体"/>
          <w:sz w:val="31"/>
          <w:szCs w:val="31"/>
          <w:lang w:eastAsia="zh-CN"/>
        </w:rPr>
      </w:pPr>
      <w:r>
        <w:rPr>
          <w:rFonts w:ascii="黑体" w:hAnsi="黑体" w:eastAsia="黑体" w:cs="黑体"/>
          <w:spacing w:val="8"/>
          <w:sz w:val="31"/>
          <w:szCs w:val="31"/>
          <w:lang w:eastAsia="zh-CN"/>
        </w:rPr>
        <w:t>七、技术平台</w:t>
      </w:r>
    </w:p>
    <w:p w14:paraId="4AEF53DF">
      <w:pPr>
        <w:spacing w:before="335" w:line="322" w:lineRule="auto"/>
        <w:ind w:left="4" w:firstLine="640"/>
        <w:jc w:val="both"/>
        <w:rPr>
          <w:rFonts w:ascii="仿宋" w:hAnsi="仿宋" w:eastAsia="仿宋" w:cs="仿宋"/>
          <w:sz w:val="31"/>
          <w:szCs w:val="31"/>
          <w:lang w:eastAsia="zh-CN"/>
        </w:rPr>
      </w:pPr>
      <w:r>
        <w:rPr>
          <w:rFonts w:ascii="仿宋" w:hAnsi="仿宋" w:eastAsia="仿宋" w:cs="仿宋"/>
          <w:spacing w:val="4"/>
          <w:sz w:val="31"/>
          <w:szCs w:val="31"/>
          <w:lang w:eastAsia="zh-CN"/>
        </w:rPr>
        <w:t>本项目竞赛设备和材料不做统一要求，承办学校为参赛队提</w:t>
      </w:r>
      <w:r>
        <w:rPr>
          <w:rFonts w:ascii="仿宋" w:hAnsi="仿宋" w:eastAsia="仿宋" w:cs="仿宋"/>
          <w:spacing w:val="18"/>
          <w:sz w:val="31"/>
          <w:szCs w:val="31"/>
          <w:lang w:eastAsia="zh-CN"/>
        </w:rPr>
        <w:t xml:space="preserve"> </w:t>
      </w:r>
      <w:r>
        <w:rPr>
          <w:rFonts w:ascii="仿宋" w:hAnsi="仿宋" w:eastAsia="仿宋" w:cs="仿宋"/>
          <w:spacing w:val="6"/>
          <w:sz w:val="31"/>
          <w:szCs w:val="31"/>
          <w:lang w:eastAsia="zh-CN"/>
        </w:rPr>
        <w:t>供本校现有可用于比赛的设备和材料清单（见表</w:t>
      </w:r>
      <w:r>
        <w:rPr>
          <w:rFonts w:ascii="仿宋" w:hAnsi="仿宋" w:eastAsia="仿宋" w:cs="仿宋"/>
          <w:spacing w:val="-36"/>
          <w:sz w:val="31"/>
          <w:szCs w:val="31"/>
          <w:lang w:eastAsia="zh-CN"/>
        </w:rPr>
        <w:t xml:space="preserve"> </w:t>
      </w:r>
      <w:r>
        <w:rPr>
          <w:rFonts w:hint="eastAsia" w:ascii="Times New Roman" w:hAnsi="Times New Roman" w:eastAsia="Times New Roman" w:cs="Times New Roman"/>
          <w:spacing w:val="6"/>
          <w:sz w:val="31"/>
          <w:szCs w:val="31"/>
          <w:lang w:val="en-US" w:eastAsia="zh-CN"/>
        </w:rPr>
        <w:t>2</w:t>
      </w:r>
      <w:r>
        <w:rPr>
          <w:rFonts w:ascii="仿宋" w:hAnsi="仿宋" w:eastAsia="仿宋" w:cs="仿宋"/>
          <w:spacing w:val="10"/>
          <w:sz w:val="31"/>
          <w:szCs w:val="31"/>
          <w:lang w:eastAsia="zh-CN"/>
        </w:rPr>
        <w:t>），</w:t>
      </w:r>
      <w:r>
        <w:rPr>
          <w:rFonts w:ascii="仿宋" w:hAnsi="仿宋" w:eastAsia="仿宋" w:cs="仿宋"/>
          <w:spacing w:val="6"/>
          <w:sz w:val="31"/>
          <w:szCs w:val="31"/>
          <w:lang w:eastAsia="zh-CN"/>
        </w:rPr>
        <w:t>供参赛队</w:t>
      </w:r>
      <w:r>
        <w:rPr>
          <w:rFonts w:ascii="仿宋" w:hAnsi="仿宋" w:eastAsia="仿宋" w:cs="仿宋"/>
          <w:sz w:val="31"/>
          <w:szCs w:val="31"/>
          <w:lang w:eastAsia="zh-CN"/>
        </w:rPr>
        <w:t xml:space="preserve"> </w:t>
      </w:r>
      <w:r>
        <w:rPr>
          <w:rFonts w:ascii="仿宋" w:hAnsi="仿宋" w:eastAsia="仿宋" w:cs="仿宋"/>
          <w:spacing w:val="5"/>
          <w:sz w:val="31"/>
          <w:szCs w:val="31"/>
          <w:lang w:eastAsia="zh-CN"/>
        </w:rPr>
        <w:t>自愿选择使用。</w:t>
      </w:r>
    </w:p>
    <w:p w14:paraId="731E606E">
      <w:pPr>
        <w:spacing w:before="62" w:line="327" w:lineRule="auto"/>
        <w:ind w:left="2" w:firstLine="643"/>
        <w:jc w:val="both"/>
        <w:rPr>
          <w:rFonts w:ascii="仿宋" w:hAnsi="仿宋" w:eastAsia="仿宋" w:cs="仿宋"/>
          <w:spacing w:val="-1"/>
          <w:sz w:val="31"/>
          <w:szCs w:val="31"/>
          <w:lang w:eastAsia="zh-CN"/>
        </w:rPr>
      </w:pPr>
      <w:r>
        <w:rPr>
          <w:rFonts w:ascii="仿宋" w:hAnsi="仿宋" w:eastAsia="仿宋" w:cs="仿宋"/>
          <w:spacing w:val="17"/>
          <w:sz w:val="31"/>
          <w:szCs w:val="31"/>
          <w:lang w:eastAsia="zh-CN"/>
        </w:rPr>
        <w:t>决定自带设备和材料的参赛队需与承办学校积极沟通协商</w:t>
      </w:r>
      <w:r>
        <w:rPr>
          <w:rFonts w:ascii="仿宋" w:hAnsi="仿宋" w:eastAsia="仿宋" w:cs="仿宋"/>
          <w:spacing w:val="4"/>
          <w:sz w:val="31"/>
          <w:szCs w:val="31"/>
          <w:lang w:eastAsia="zh-CN"/>
        </w:rPr>
        <w:t xml:space="preserve"> </w:t>
      </w:r>
      <w:r>
        <w:rPr>
          <w:rFonts w:ascii="仿宋" w:hAnsi="仿宋" w:eastAsia="仿宋" w:cs="仿宋"/>
          <w:spacing w:val="9"/>
          <w:sz w:val="31"/>
          <w:szCs w:val="31"/>
          <w:lang w:eastAsia="zh-CN"/>
        </w:rPr>
        <w:t>并签订确认书（模版参见《关于举</w:t>
      </w:r>
      <w:r>
        <w:rPr>
          <w:rFonts w:ascii="仿宋" w:hAnsi="仿宋" w:eastAsia="仿宋" w:cs="仿宋"/>
          <w:spacing w:val="8"/>
          <w:sz w:val="31"/>
          <w:szCs w:val="31"/>
          <w:lang w:eastAsia="zh-CN"/>
        </w:rPr>
        <w:t>办</w:t>
      </w:r>
      <w:r>
        <w:rPr>
          <w:rFonts w:ascii="仿宋" w:hAnsi="仿宋" w:eastAsia="仿宋" w:cs="仿宋"/>
          <w:spacing w:val="-66"/>
          <w:sz w:val="31"/>
          <w:szCs w:val="31"/>
          <w:lang w:eastAsia="zh-CN"/>
        </w:rPr>
        <w:t xml:space="preserve"> </w:t>
      </w:r>
      <w:r>
        <w:rPr>
          <w:rFonts w:ascii="Times New Roman" w:hAnsi="Times New Roman" w:eastAsia="Times New Roman" w:cs="Times New Roman"/>
          <w:spacing w:val="8"/>
          <w:sz w:val="31"/>
          <w:szCs w:val="31"/>
          <w:lang w:eastAsia="zh-CN"/>
        </w:rPr>
        <w:t>2025</w:t>
      </w:r>
      <w:r>
        <w:rPr>
          <w:rFonts w:ascii="Times New Roman" w:hAnsi="Times New Roman" w:eastAsia="Times New Roman" w:cs="Times New Roman"/>
          <w:spacing w:val="33"/>
          <w:sz w:val="31"/>
          <w:szCs w:val="31"/>
          <w:lang w:eastAsia="zh-CN"/>
        </w:rPr>
        <w:t xml:space="preserve"> </w:t>
      </w:r>
      <w:r>
        <w:rPr>
          <w:rFonts w:ascii="仿宋" w:hAnsi="仿宋" w:eastAsia="仿宋" w:cs="仿宋"/>
          <w:spacing w:val="8"/>
          <w:sz w:val="31"/>
          <w:szCs w:val="31"/>
          <w:lang w:eastAsia="zh-CN"/>
        </w:rPr>
        <w:t>年</w:t>
      </w:r>
      <w:r>
        <w:rPr>
          <w:rFonts w:hint="eastAsia" w:ascii="仿宋" w:hAnsi="仿宋" w:eastAsia="仿宋" w:cs="仿宋"/>
          <w:spacing w:val="8"/>
          <w:sz w:val="31"/>
          <w:szCs w:val="31"/>
          <w:lang w:eastAsia="zh-CN"/>
        </w:rPr>
        <w:t>渭南市</w:t>
      </w:r>
      <w:r>
        <w:rPr>
          <w:rFonts w:ascii="仿宋" w:hAnsi="仿宋" w:eastAsia="仿宋" w:cs="仿宋"/>
          <w:spacing w:val="8"/>
          <w:sz w:val="31"/>
          <w:szCs w:val="31"/>
          <w:lang w:eastAsia="zh-CN"/>
        </w:rPr>
        <w:t>职业院校技能大赛的通知》</w:t>
      </w:r>
      <w:r>
        <w:rPr>
          <w:rFonts w:ascii="仿宋" w:hAnsi="仿宋" w:eastAsia="仿宋" w:cs="仿宋"/>
          <w:spacing w:val="-33"/>
          <w:sz w:val="31"/>
          <w:szCs w:val="31"/>
          <w:lang w:eastAsia="zh-CN"/>
        </w:rPr>
        <w:t>），</w:t>
      </w:r>
      <w:r>
        <w:rPr>
          <w:rFonts w:ascii="仿宋" w:hAnsi="仿宋" w:eastAsia="仿宋" w:cs="仿宋"/>
          <w:spacing w:val="8"/>
          <w:sz w:val="31"/>
          <w:szCs w:val="31"/>
          <w:lang w:eastAsia="zh-CN"/>
        </w:rPr>
        <w:t>确认自带设备清单及赛场环境要</w:t>
      </w:r>
      <w:r>
        <w:rPr>
          <w:rFonts w:ascii="仿宋" w:hAnsi="仿宋" w:eastAsia="仿宋" w:cs="仿宋"/>
          <w:spacing w:val="5"/>
          <w:sz w:val="31"/>
          <w:szCs w:val="31"/>
          <w:lang w:eastAsia="zh-CN"/>
        </w:rPr>
        <w:t>求信息。双方确认可行后方可进场。现场设备技术保障谁提供谁</w:t>
      </w:r>
      <w:r>
        <w:rPr>
          <w:rFonts w:ascii="仿宋" w:hAnsi="仿宋" w:eastAsia="仿宋" w:cs="仿宋"/>
          <w:spacing w:val="-1"/>
          <w:sz w:val="31"/>
          <w:szCs w:val="31"/>
          <w:lang w:eastAsia="zh-CN"/>
        </w:rPr>
        <w:t>负责。</w:t>
      </w:r>
    </w:p>
    <w:p w14:paraId="5A7B44E1">
      <w:pPr>
        <w:spacing w:before="91" w:line="221" w:lineRule="auto"/>
        <w:jc w:val="center"/>
        <w:rPr>
          <w:rFonts w:hint="eastAsia" w:ascii="仿宋" w:hAnsi="仿宋" w:eastAsia="仿宋" w:cs="仿宋"/>
          <w:sz w:val="28"/>
          <w:szCs w:val="28"/>
          <w:lang w:eastAsia="zh-CN"/>
        </w:rPr>
      </w:pPr>
      <w:r>
        <w:rPr>
          <w:rFonts w:ascii="仿宋" w:hAnsi="仿宋" w:eastAsia="仿宋" w:cs="仿宋"/>
          <w:b/>
          <w:bCs/>
          <w:spacing w:val="-4"/>
          <w:sz w:val="28"/>
          <w:szCs w:val="28"/>
          <w:lang w:eastAsia="zh-CN"/>
        </w:rPr>
        <w:t>表</w:t>
      </w:r>
      <w:r>
        <w:rPr>
          <w:rFonts w:hint="eastAsia" w:ascii="仿宋" w:hAnsi="仿宋" w:eastAsia="仿宋" w:cs="仿宋"/>
          <w:spacing w:val="-27"/>
          <w:sz w:val="28"/>
          <w:szCs w:val="28"/>
          <w:lang w:val="en-US" w:eastAsia="zh-CN"/>
        </w:rPr>
        <w:t>2</w:t>
      </w:r>
      <w:r>
        <w:rPr>
          <w:rFonts w:ascii="仿宋" w:hAnsi="仿宋" w:eastAsia="仿宋" w:cs="仿宋"/>
          <w:spacing w:val="-4"/>
          <w:sz w:val="28"/>
          <w:szCs w:val="28"/>
          <w:lang w:eastAsia="zh-CN"/>
        </w:rPr>
        <w:t xml:space="preserve"> </w:t>
      </w:r>
      <w:r>
        <w:rPr>
          <w:rFonts w:ascii="仿宋" w:hAnsi="仿宋" w:eastAsia="仿宋" w:cs="仿宋"/>
          <w:b/>
          <w:bCs/>
          <w:spacing w:val="-4"/>
          <w:sz w:val="28"/>
          <w:szCs w:val="28"/>
          <w:lang w:eastAsia="zh-CN"/>
        </w:rPr>
        <w:t>《</w:t>
      </w:r>
      <w:r>
        <w:rPr>
          <w:rFonts w:hint="eastAsia" w:ascii="仿宋" w:hAnsi="仿宋" w:eastAsia="仿宋" w:cs="仿宋"/>
          <w:b/>
          <w:bCs/>
          <w:spacing w:val="-4"/>
          <w:sz w:val="28"/>
          <w:szCs w:val="28"/>
          <w:lang w:eastAsia="zh-CN"/>
        </w:rPr>
        <w:t>移动应用与开发</w:t>
      </w:r>
      <w:r>
        <w:rPr>
          <w:rFonts w:ascii="仿宋" w:hAnsi="仿宋" w:eastAsia="仿宋" w:cs="仿宋"/>
          <w:b/>
          <w:bCs/>
          <w:spacing w:val="-4"/>
          <w:sz w:val="28"/>
          <w:szCs w:val="28"/>
          <w:lang w:eastAsia="zh-CN"/>
        </w:rPr>
        <w:t>》赛项承办学校现有设备及材料清单</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99"/>
        <w:gridCol w:w="725"/>
        <w:gridCol w:w="2809"/>
        <w:gridCol w:w="962"/>
        <w:gridCol w:w="1459"/>
        <w:gridCol w:w="470"/>
      </w:tblGrid>
      <w:tr w14:paraId="038E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Borders>
              <w:top w:val="single" w:color="auto" w:sz="4" w:space="0"/>
              <w:left w:val="single" w:color="auto" w:sz="4" w:space="0"/>
              <w:bottom w:val="single" w:color="auto" w:sz="4" w:space="0"/>
              <w:right w:val="single" w:color="auto" w:sz="4" w:space="0"/>
            </w:tcBorders>
            <w:noWrap w:val="0"/>
            <w:vAlign w:val="center"/>
          </w:tcPr>
          <w:p w14:paraId="2383EAE9">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类别</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7C36AA86">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名称</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50AECB5B">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型号</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7F34904D">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主要技术参数</w:t>
            </w:r>
          </w:p>
        </w:tc>
        <w:tc>
          <w:tcPr>
            <w:tcW w:w="531" w:type="pct"/>
            <w:tcBorders>
              <w:top w:val="single" w:color="auto" w:sz="4" w:space="0"/>
              <w:left w:val="single" w:color="auto" w:sz="4" w:space="0"/>
              <w:bottom w:val="single" w:color="auto" w:sz="4" w:space="0"/>
              <w:right w:val="single" w:color="auto" w:sz="4" w:space="0"/>
            </w:tcBorders>
            <w:noWrap w:val="0"/>
            <w:vAlign w:val="center"/>
          </w:tcPr>
          <w:p w14:paraId="027D796B">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台套数</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24D730C1">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设备厂商</w:t>
            </w:r>
          </w:p>
        </w:tc>
        <w:tc>
          <w:tcPr>
            <w:tcW w:w="259" w:type="pct"/>
            <w:tcBorders>
              <w:top w:val="single" w:color="auto" w:sz="4" w:space="0"/>
              <w:left w:val="single" w:color="auto" w:sz="4" w:space="0"/>
              <w:bottom w:val="single" w:color="auto" w:sz="4" w:space="0"/>
              <w:right w:val="single" w:color="auto" w:sz="4" w:space="0"/>
            </w:tcBorders>
            <w:noWrap w:val="0"/>
            <w:vAlign w:val="center"/>
          </w:tcPr>
          <w:p w14:paraId="2537DE3D">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备注</w:t>
            </w:r>
          </w:p>
        </w:tc>
      </w:tr>
      <w:tr w14:paraId="7BCB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730" w:type="pct"/>
            <w:vMerge w:val="restart"/>
            <w:tcBorders>
              <w:top w:val="nil"/>
              <w:left w:val="single" w:color="auto" w:sz="4" w:space="0"/>
              <w:bottom w:val="single" w:color="auto" w:sz="4" w:space="0"/>
              <w:right w:val="single" w:color="auto" w:sz="4" w:space="0"/>
            </w:tcBorders>
            <w:noWrap w:val="0"/>
            <w:vAlign w:val="center"/>
          </w:tcPr>
          <w:p w14:paraId="50A3A881">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硬件</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2C8BFAE1">
            <w:pPr>
              <w:widowControl w:val="0"/>
              <w:kinsoku/>
              <w:autoSpaceDE/>
              <w:autoSpaceDN/>
              <w:adjustRightInd/>
              <w:snapToGrid/>
              <w:jc w:val="center"/>
              <w:textAlignment w:val="auto"/>
              <w:rPr>
                <w:rFonts w:hint="eastAsia" w:ascii="仿宋_GB2312" w:hAnsi="仿宋_GB2312" w:eastAsia="仿宋_GB2312" w:cs="仿宋_GB2312"/>
                <w:b w:val="0"/>
                <w:bCs w:val="0"/>
                <w:snapToGrid/>
                <w:color w:val="FF0000"/>
                <w:kern w:val="2"/>
                <w:sz w:val="24"/>
                <w:szCs w:val="24"/>
                <w:highlight w:val="yellow"/>
                <w:lang w:eastAsia="zh-CN"/>
              </w:rPr>
            </w:pPr>
            <w:r>
              <w:rPr>
                <w:rFonts w:hint="eastAsia" w:ascii="仿宋_GB2312" w:hAnsi="仿宋_GB2312" w:eastAsia="仿宋_GB2312" w:cs="仿宋_GB2312"/>
                <w:b w:val="0"/>
                <w:bCs w:val="0"/>
                <w:snapToGrid/>
                <w:kern w:val="2"/>
                <w:sz w:val="24"/>
                <w:szCs w:val="24"/>
                <w:lang w:eastAsia="zh-CN"/>
              </w:rPr>
              <w:t>台式计算机</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7C34B1F8">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p>
        </w:tc>
        <w:tc>
          <w:tcPr>
            <w:tcW w:w="1552" w:type="pct"/>
            <w:tcBorders>
              <w:top w:val="single" w:color="auto" w:sz="4" w:space="0"/>
              <w:left w:val="single" w:color="auto" w:sz="4" w:space="0"/>
              <w:bottom w:val="single" w:color="auto" w:sz="4" w:space="0"/>
              <w:right w:val="single" w:color="auto" w:sz="4" w:space="0"/>
            </w:tcBorders>
            <w:noWrap w:val="0"/>
            <w:vAlign w:val="center"/>
          </w:tcPr>
          <w:p w14:paraId="3EF9CBED">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操作系统：Windows 10（64位）</w:t>
            </w:r>
          </w:p>
          <w:p w14:paraId="2949F115">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处理器：i5以上处理器（支持VT）</w:t>
            </w:r>
          </w:p>
          <w:p w14:paraId="1103CD58">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内存：16GB或以上</w:t>
            </w:r>
          </w:p>
          <w:p w14:paraId="38990AD7">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硬盘：256GB或以上</w:t>
            </w:r>
          </w:p>
          <w:p w14:paraId="7D5A270F">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网卡：千兆及以上网卡</w:t>
            </w:r>
          </w:p>
          <w:p w14:paraId="2105005B">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显示器：23 英寸及以上</w:t>
            </w:r>
          </w:p>
        </w:tc>
        <w:tc>
          <w:tcPr>
            <w:tcW w:w="531" w:type="pct"/>
            <w:tcBorders>
              <w:top w:val="single" w:color="auto" w:sz="4" w:space="0"/>
              <w:left w:val="single" w:color="auto" w:sz="4" w:space="0"/>
              <w:bottom w:val="single" w:color="auto" w:sz="4" w:space="0"/>
              <w:right w:val="single" w:color="auto" w:sz="4" w:space="0"/>
            </w:tcBorders>
            <w:noWrap w:val="0"/>
            <w:vAlign w:val="center"/>
          </w:tcPr>
          <w:p w14:paraId="20EFDCD9">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4台</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4B91C270">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c>
          <w:tcPr>
            <w:tcW w:w="259" w:type="pct"/>
            <w:tcBorders>
              <w:top w:val="single" w:color="auto" w:sz="4" w:space="0"/>
              <w:left w:val="single" w:color="auto" w:sz="4" w:space="0"/>
              <w:bottom w:val="single" w:color="auto" w:sz="4" w:space="0"/>
              <w:right w:val="single" w:color="auto" w:sz="4" w:space="0"/>
            </w:tcBorders>
            <w:noWrap w:val="0"/>
            <w:vAlign w:val="center"/>
          </w:tcPr>
          <w:p w14:paraId="4C09C846">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5AFC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3" w:hRule="atLeast"/>
          <w:jc w:val="center"/>
        </w:trPr>
        <w:tc>
          <w:tcPr>
            <w:tcW w:w="730" w:type="pct"/>
            <w:vMerge w:val="continue"/>
            <w:tcBorders>
              <w:top w:val="nil"/>
              <w:left w:val="single" w:color="auto" w:sz="4" w:space="0"/>
              <w:bottom w:val="single" w:color="auto" w:sz="4" w:space="0"/>
              <w:right w:val="single" w:color="auto" w:sz="4" w:space="0"/>
            </w:tcBorders>
            <w:noWrap w:val="0"/>
            <w:vAlign w:val="center"/>
          </w:tcPr>
          <w:p w14:paraId="50A843D4">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54FA16B8">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kern w:val="2"/>
                <w:sz w:val="24"/>
                <w:szCs w:val="24"/>
                <w:lang w:eastAsia="zh-CN"/>
              </w:rPr>
              <w:t>交互智能平板</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5DFA2F9C">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c>
          <w:tcPr>
            <w:tcW w:w="1552" w:type="pct"/>
            <w:tcBorders>
              <w:top w:val="single" w:color="auto" w:sz="4" w:space="0"/>
              <w:left w:val="single" w:color="auto" w:sz="4" w:space="0"/>
              <w:bottom w:val="single" w:color="auto" w:sz="4" w:space="0"/>
              <w:right w:val="single" w:color="auto" w:sz="4" w:space="0"/>
            </w:tcBorders>
            <w:noWrap w:val="0"/>
            <w:vAlign w:val="center"/>
          </w:tcPr>
          <w:p w14:paraId="510CD543">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1.整机屏幕采用86英寸液晶显示器;</w:t>
            </w:r>
          </w:p>
          <w:p w14:paraId="4EF8B4AA">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2.整机采用UHD超高清LED液晶屏，显示比例16:9，分辨率3840*2160;</w:t>
            </w:r>
          </w:p>
          <w:p w14:paraId="324B92FD">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3.支持红外触控,支持 Windows系统中进行20点或以上触控，安卓系统中进行10 点或以上触控， 支持红外笔书写;</w:t>
            </w:r>
          </w:p>
          <w:p w14:paraId="037CC6B6">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4.支持智能U盘锁功能， 整机可设置触摸及按键锁定，锁定后无法随意自由操作，需要使用时插入USB key可解锁。</w:t>
            </w:r>
          </w:p>
        </w:tc>
        <w:tc>
          <w:tcPr>
            <w:tcW w:w="531" w:type="pct"/>
            <w:tcBorders>
              <w:top w:val="single" w:color="auto" w:sz="4" w:space="0"/>
              <w:left w:val="single" w:color="auto" w:sz="4" w:space="0"/>
              <w:bottom w:val="single" w:color="auto" w:sz="4" w:space="0"/>
              <w:right w:val="single" w:color="auto" w:sz="4" w:space="0"/>
            </w:tcBorders>
            <w:noWrap w:val="0"/>
            <w:vAlign w:val="center"/>
          </w:tcPr>
          <w:p w14:paraId="60B9F97B">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1台</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28A1084A">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c>
          <w:tcPr>
            <w:tcW w:w="259" w:type="pct"/>
            <w:tcBorders>
              <w:top w:val="single" w:color="auto" w:sz="4" w:space="0"/>
              <w:left w:val="single" w:color="auto" w:sz="4" w:space="0"/>
              <w:bottom w:val="single" w:color="auto" w:sz="4" w:space="0"/>
              <w:right w:val="single" w:color="auto" w:sz="4" w:space="0"/>
            </w:tcBorders>
            <w:noWrap w:val="0"/>
            <w:vAlign w:val="center"/>
          </w:tcPr>
          <w:p w14:paraId="352FF676">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22D7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30" w:type="pct"/>
            <w:vMerge w:val="continue"/>
            <w:tcBorders>
              <w:top w:val="nil"/>
              <w:left w:val="single" w:color="auto" w:sz="4" w:space="0"/>
              <w:bottom w:val="single" w:color="auto" w:sz="4" w:space="0"/>
              <w:right w:val="single" w:color="auto" w:sz="4" w:space="0"/>
            </w:tcBorders>
            <w:noWrap w:val="0"/>
            <w:vAlign w:val="center"/>
          </w:tcPr>
          <w:p w14:paraId="7F003EFC">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78C0DFC8">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kern w:val="2"/>
                <w:sz w:val="24"/>
                <w:szCs w:val="24"/>
                <w:lang w:eastAsia="zh-CN"/>
              </w:rPr>
              <w:t>智能笔</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49A82322">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c>
          <w:tcPr>
            <w:tcW w:w="1552" w:type="pct"/>
            <w:tcBorders>
              <w:top w:val="single" w:color="auto" w:sz="4" w:space="0"/>
              <w:left w:val="single" w:color="auto" w:sz="4" w:space="0"/>
              <w:bottom w:val="single" w:color="auto" w:sz="4" w:space="0"/>
              <w:right w:val="single" w:color="auto" w:sz="4" w:space="0"/>
            </w:tcBorders>
            <w:noWrap w:val="0"/>
            <w:vAlign w:val="center"/>
          </w:tcPr>
          <w:p w14:paraId="16A85002">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2690A4D5">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1个</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352941B2">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c>
          <w:tcPr>
            <w:tcW w:w="259" w:type="pct"/>
            <w:tcBorders>
              <w:top w:val="single" w:color="auto" w:sz="4" w:space="0"/>
              <w:left w:val="single" w:color="auto" w:sz="4" w:space="0"/>
              <w:bottom w:val="single" w:color="auto" w:sz="4" w:space="0"/>
              <w:right w:val="single" w:color="auto" w:sz="4" w:space="0"/>
            </w:tcBorders>
            <w:noWrap w:val="0"/>
            <w:vAlign w:val="center"/>
          </w:tcPr>
          <w:p w14:paraId="3956F59D">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2253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tcBorders>
              <w:top w:val="nil"/>
              <w:left w:val="single" w:color="auto" w:sz="4" w:space="0"/>
              <w:bottom w:val="single" w:color="auto" w:sz="4" w:space="0"/>
              <w:right w:val="single" w:color="auto" w:sz="4" w:space="0"/>
            </w:tcBorders>
            <w:noWrap w:val="0"/>
            <w:vAlign w:val="center"/>
          </w:tcPr>
          <w:p w14:paraId="52962DDC">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软件</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5EA5B506">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Adobe XD</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09F4AB80">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40</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2E4285A7">
            <w:pPr>
              <w:widowControl w:val="0"/>
              <w:kinsoku/>
              <w:autoSpaceDE/>
              <w:autoSpaceDN/>
              <w:adjustRightInd/>
              <w:snapToGrid/>
              <w:ind w:firstLine="360"/>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6197B64C">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4套</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7515574B">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Adobe</w:t>
            </w:r>
          </w:p>
        </w:tc>
        <w:tc>
          <w:tcPr>
            <w:tcW w:w="259" w:type="pct"/>
            <w:tcBorders>
              <w:top w:val="single" w:color="auto" w:sz="4" w:space="0"/>
              <w:left w:val="single" w:color="auto" w:sz="4" w:space="0"/>
              <w:bottom w:val="single" w:color="auto" w:sz="4" w:space="0"/>
              <w:right w:val="single" w:color="auto" w:sz="4" w:space="0"/>
            </w:tcBorders>
            <w:noWrap w:val="0"/>
            <w:vAlign w:val="center"/>
          </w:tcPr>
          <w:p w14:paraId="08517B6B">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1E05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nil"/>
              <w:left w:val="single" w:color="auto" w:sz="4" w:space="0"/>
              <w:bottom w:val="single" w:color="auto" w:sz="4" w:space="0"/>
              <w:right w:val="single" w:color="auto" w:sz="4" w:space="0"/>
            </w:tcBorders>
            <w:noWrap w:val="0"/>
            <w:vAlign w:val="center"/>
          </w:tcPr>
          <w:p w14:paraId="678B6636">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7CC5715E">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Adobe Photoshop</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7C9B80BB">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2022</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59A6BCC0">
            <w:pPr>
              <w:widowControl w:val="0"/>
              <w:kinsoku/>
              <w:autoSpaceDE/>
              <w:autoSpaceDN/>
              <w:adjustRightInd/>
              <w:snapToGrid/>
              <w:ind w:firstLine="360"/>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51A8ED0B">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4套</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50E86F0F">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Adobe</w:t>
            </w:r>
          </w:p>
        </w:tc>
        <w:tc>
          <w:tcPr>
            <w:tcW w:w="259" w:type="pct"/>
            <w:tcBorders>
              <w:top w:val="single" w:color="auto" w:sz="4" w:space="0"/>
              <w:left w:val="single" w:color="auto" w:sz="4" w:space="0"/>
              <w:bottom w:val="single" w:color="auto" w:sz="4" w:space="0"/>
              <w:right w:val="single" w:color="auto" w:sz="4" w:space="0"/>
            </w:tcBorders>
            <w:noWrap w:val="0"/>
            <w:vAlign w:val="center"/>
          </w:tcPr>
          <w:p w14:paraId="55A713AD">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4CA5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nil"/>
              <w:left w:val="single" w:color="auto" w:sz="4" w:space="0"/>
              <w:bottom w:val="single" w:color="auto" w:sz="4" w:space="0"/>
              <w:right w:val="single" w:color="auto" w:sz="4" w:space="0"/>
            </w:tcBorders>
            <w:noWrap w:val="0"/>
            <w:vAlign w:val="center"/>
          </w:tcPr>
          <w:p w14:paraId="641896B7">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62780DC7">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Postman</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6D08BC83">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10.5</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7EE8A9EA">
            <w:pPr>
              <w:widowControl w:val="0"/>
              <w:kinsoku/>
              <w:autoSpaceDE/>
              <w:autoSpaceDN/>
              <w:adjustRightInd/>
              <w:snapToGrid/>
              <w:ind w:firstLine="360"/>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5ADB33B2">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4套</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16F8440B">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333333"/>
                <w:kern w:val="2"/>
                <w:sz w:val="24"/>
                <w:szCs w:val="24"/>
                <w:shd w:val="clear" w:color="auto" w:fill="FFFFFF"/>
                <w:lang w:eastAsia="zh-CN"/>
              </w:rPr>
              <w:t>Abhijit Kane</w:t>
            </w:r>
          </w:p>
        </w:tc>
        <w:tc>
          <w:tcPr>
            <w:tcW w:w="259" w:type="pct"/>
            <w:tcBorders>
              <w:top w:val="single" w:color="auto" w:sz="4" w:space="0"/>
              <w:left w:val="single" w:color="auto" w:sz="4" w:space="0"/>
              <w:bottom w:val="single" w:color="auto" w:sz="4" w:space="0"/>
              <w:right w:val="single" w:color="auto" w:sz="4" w:space="0"/>
            </w:tcBorders>
            <w:noWrap w:val="0"/>
            <w:vAlign w:val="center"/>
          </w:tcPr>
          <w:p w14:paraId="225E447F">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1D55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nil"/>
              <w:left w:val="single" w:color="auto" w:sz="4" w:space="0"/>
              <w:bottom w:val="single" w:color="auto" w:sz="4" w:space="0"/>
              <w:right w:val="single" w:color="auto" w:sz="4" w:space="0"/>
            </w:tcBorders>
            <w:noWrap w:val="0"/>
            <w:vAlign w:val="center"/>
          </w:tcPr>
          <w:p w14:paraId="248D89C0">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62A544B0">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WPS</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23054011">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11.1.0</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55DDC82C">
            <w:pPr>
              <w:widowControl w:val="0"/>
              <w:kinsoku/>
              <w:autoSpaceDE/>
              <w:autoSpaceDN/>
              <w:adjustRightInd/>
              <w:snapToGrid/>
              <w:ind w:firstLine="360"/>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3C548024">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4套</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1AB63D0C">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WPS</w:t>
            </w:r>
          </w:p>
        </w:tc>
        <w:tc>
          <w:tcPr>
            <w:tcW w:w="259" w:type="pct"/>
            <w:tcBorders>
              <w:top w:val="single" w:color="auto" w:sz="4" w:space="0"/>
              <w:left w:val="single" w:color="auto" w:sz="4" w:space="0"/>
              <w:bottom w:val="single" w:color="auto" w:sz="4" w:space="0"/>
              <w:right w:val="single" w:color="auto" w:sz="4" w:space="0"/>
            </w:tcBorders>
            <w:noWrap w:val="0"/>
            <w:vAlign w:val="center"/>
          </w:tcPr>
          <w:p w14:paraId="21334DFD">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2528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nil"/>
              <w:left w:val="single" w:color="auto" w:sz="4" w:space="0"/>
              <w:bottom w:val="single" w:color="auto" w:sz="4" w:space="0"/>
              <w:right w:val="single" w:color="auto" w:sz="4" w:space="0"/>
            </w:tcBorders>
            <w:noWrap w:val="0"/>
            <w:vAlign w:val="center"/>
          </w:tcPr>
          <w:p w14:paraId="42BFED61">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65225D1E">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GitStack</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4DFBDA84">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2.3.11</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1765BA07">
            <w:pPr>
              <w:widowControl w:val="0"/>
              <w:kinsoku/>
              <w:autoSpaceDE/>
              <w:autoSpaceDN/>
              <w:adjustRightInd/>
              <w:snapToGrid/>
              <w:ind w:firstLine="360"/>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4AB75FB8">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4套</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33F8A9BD">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windows</w:t>
            </w:r>
          </w:p>
        </w:tc>
        <w:tc>
          <w:tcPr>
            <w:tcW w:w="259" w:type="pct"/>
            <w:tcBorders>
              <w:top w:val="single" w:color="auto" w:sz="4" w:space="0"/>
              <w:left w:val="single" w:color="auto" w:sz="4" w:space="0"/>
              <w:bottom w:val="single" w:color="auto" w:sz="4" w:space="0"/>
              <w:right w:val="single" w:color="auto" w:sz="4" w:space="0"/>
            </w:tcBorders>
            <w:noWrap w:val="0"/>
            <w:vAlign w:val="center"/>
          </w:tcPr>
          <w:p w14:paraId="1E1644B7">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2B0C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nil"/>
              <w:left w:val="single" w:color="auto" w:sz="4" w:space="0"/>
              <w:bottom w:val="single" w:color="auto" w:sz="4" w:space="0"/>
              <w:right w:val="single" w:color="auto" w:sz="4" w:space="0"/>
            </w:tcBorders>
            <w:noWrap w:val="0"/>
            <w:vAlign w:val="center"/>
          </w:tcPr>
          <w:p w14:paraId="36FF0810">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3D7F8970">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Android Studio</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4B7E42FA">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4.2.2</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49E859B6">
            <w:pPr>
              <w:widowControl w:val="0"/>
              <w:kinsoku/>
              <w:autoSpaceDE/>
              <w:autoSpaceDN/>
              <w:adjustRightInd/>
              <w:snapToGrid/>
              <w:ind w:firstLine="360"/>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666BD429">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4套</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2BCB49FF">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谷歌</w:t>
            </w:r>
          </w:p>
        </w:tc>
        <w:tc>
          <w:tcPr>
            <w:tcW w:w="259" w:type="pct"/>
            <w:tcBorders>
              <w:top w:val="single" w:color="auto" w:sz="4" w:space="0"/>
              <w:left w:val="single" w:color="auto" w:sz="4" w:space="0"/>
              <w:bottom w:val="single" w:color="auto" w:sz="4" w:space="0"/>
              <w:right w:val="single" w:color="auto" w:sz="4" w:space="0"/>
            </w:tcBorders>
            <w:noWrap w:val="0"/>
            <w:vAlign w:val="center"/>
          </w:tcPr>
          <w:p w14:paraId="4EA8C018">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15B2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nil"/>
              <w:left w:val="single" w:color="auto" w:sz="4" w:space="0"/>
              <w:bottom w:val="single" w:color="auto" w:sz="4" w:space="0"/>
              <w:right w:val="single" w:color="auto" w:sz="4" w:space="0"/>
            </w:tcBorders>
            <w:noWrap w:val="0"/>
            <w:vAlign w:val="center"/>
          </w:tcPr>
          <w:p w14:paraId="716BF7DF">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1DA02E6E">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Android模拟器</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0607EB4C">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10.0.X</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7A31837D">
            <w:pPr>
              <w:widowControl w:val="0"/>
              <w:kinsoku/>
              <w:autoSpaceDE/>
              <w:autoSpaceDN/>
              <w:adjustRightInd/>
              <w:snapToGrid/>
              <w:ind w:firstLine="360"/>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439B1F04">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4套</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6A34F158">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谷歌</w:t>
            </w:r>
          </w:p>
        </w:tc>
        <w:tc>
          <w:tcPr>
            <w:tcW w:w="259" w:type="pct"/>
            <w:tcBorders>
              <w:top w:val="single" w:color="auto" w:sz="4" w:space="0"/>
              <w:left w:val="single" w:color="auto" w:sz="4" w:space="0"/>
              <w:bottom w:val="single" w:color="auto" w:sz="4" w:space="0"/>
              <w:right w:val="single" w:color="auto" w:sz="4" w:space="0"/>
            </w:tcBorders>
            <w:noWrap w:val="0"/>
            <w:vAlign w:val="center"/>
          </w:tcPr>
          <w:p w14:paraId="505CEC74">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00EA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nil"/>
              <w:left w:val="single" w:color="auto" w:sz="4" w:space="0"/>
              <w:bottom w:val="single" w:color="auto" w:sz="4" w:space="0"/>
              <w:right w:val="single" w:color="auto" w:sz="4" w:space="0"/>
            </w:tcBorders>
            <w:noWrap w:val="0"/>
            <w:vAlign w:val="center"/>
          </w:tcPr>
          <w:p w14:paraId="2D104964">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51809473">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HBuilder X</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1C9B7D2A">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3.1.22</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2B27CA93">
            <w:pPr>
              <w:widowControl w:val="0"/>
              <w:kinsoku/>
              <w:autoSpaceDE/>
              <w:autoSpaceDN/>
              <w:adjustRightInd/>
              <w:snapToGrid/>
              <w:ind w:firstLine="360"/>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245D3EF2">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4套</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1EE6CEDB">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Dcloud</w:t>
            </w:r>
          </w:p>
        </w:tc>
        <w:tc>
          <w:tcPr>
            <w:tcW w:w="259" w:type="pct"/>
            <w:tcBorders>
              <w:top w:val="single" w:color="auto" w:sz="4" w:space="0"/>
              <w:left w:val="single" w:color="auto" w:sz="4" w:space="0"/>
              <w:bottom w:val="single" w:color="auto" w:sz="4" w:space="0"/>
              <w:right w:val="single" w:color="auto" w:sz="4" w:space="0"/>
            </w:tcBorders>
            <w:noWrap w:val="0"/>
            <w:vAlign w:val="center"/>
          </w:tcPr>
          <w:p w14:paraId="281AFC61">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73DE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nil"/>
              <w:left w:val="single" w:color="auto" w:sz="4" w:space="0"/>
              <w:bottom w:val="single" w:color="auto" w:sz="4" w:space="0"/>
              <w:right w:val="single" w:color="auto" w:sz="4" w:space="0"/>
            </w:tcBorders>
            <w:noWrap w:val="0"/>
            <w:vAlign w:val="center"/>
          </w:tcPr>
          <w:p w14:paraId="5CE710FF">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05D3DC9E">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Chrome浏览器</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0FBFDFD2">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111.X</w:t>
            </w:r>
          </w:p>
        </w:tc>
        <w:tc>
          <w:tcPr>
            <w:tcW w:w="1552" w:type="pct"/>
            <w:tcBorders>
              <w:top w:val="single" w:color="auto" w:sz="4" w:space="0"/>
              <w:left w:val="single" w:color="auto" w:sz="4" w:space="0"/>
              <w:bottom w:val="single" w:color="auto" w:sz="4" w:space="0"/>
              <w:right w:val="single" w:color="auto" w:sz="4" w:space="0"/>
            </w:tcBorders>
            <w:noWrap w:val="0"/>
            <w:vAlign w:val="center"/>
          </w:tcPr>
          <w:p w14:paraId="044C8230">
            <w:pPr>
              <w:widowControl w:val="0"/>
              <w:kinsoku/>
              <w:autoSpaceDE/>
              <w:autoSpaceDN/>
              <w:adjustRightInd/>
              <w:snapToGrid/>
              <w:ind w:firstLine="360"/>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4641A9C3">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4套</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20AA7BBD">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谷歌</w:t>
            </w:r>
          </w:p>
        </w:tc>
        <w:tc>
          <w:tcPr>
            <w:tcW w:w="259" w:type="pct"/>
            <w:tcBorders>
              <w:top w:val="single" w:color="auto" w:sz="4" w:space="0"/>
              <w:left w:val="single" w:color="auto" w:sz="4" w:space="0"/>
              <w:bottom w:val="single" w:color="auto" w:sz="4" w:space="0"/>
              <w:right w:val="single" w:color="auto" w:sz="4" w:space="0"/>
            </w:tcBorders>
            <w:noWrap w:val="0"/>
            <w:vAlign w:val="center"/>
          </w:tcPr>
          <w:p w14:paraId="5EABBAE3">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0077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tcBorders>
              <w:top w:val="nil"/>
              <w:left w:val="single" w:color="auto" w:sz="4" w:space="0"/>
              <w:bottom w:val="single" w:color="auto" w:sz="4" w:space="0"/>
              <w:right w:val="single" w:color="auto" w:sz="4" w:space="0"/>
            </w:tcBorders>
            <w:noWrap w:val="0"/>
            <w:vAlign w:val="center"/>
          </w:tcPr>
          <w:p w14:paraId="3CB965C7">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工具</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18C74AF8">
            <w:pPr>
              <w:widowControl w:val="0"/>
              <w:kinsoku/>
              <w:autoSpaceDE/>
              <w:autoSpaceDN/>
              <w:adjustRightInd/>
              <w:snapToGrid/>
              <w:jc w:val="center"/>
              <w:textAlignment w:val="auto"/>
              <w:rPr>
                <w:rFonts w:hint="eastAsia" w:ascii="仿宋_GB2312" w:hAnsi="仿宋_GB2312" w:eastAsia="仿宋_GB2312" w:cs="仿宋_GB2312"/>
                <w:b w:val="0"/>
                <w:bCs w:val="0"/>
                <w:snapToGrid/>
                <w:color w:val="FF0000"/>
                <w:kern w:val="2"/>
                <w:sz w:val="24"/>
                <w:szCs w:val="24"/>
                <w:highlight w:val="yellow"/>
                <w:lang w:eastAsia="zh-CN"/>
              </w:rPr>
            </w:pPr>
            <w:r>
              <w:rPr>
                <w:rFonts w:hint="eastAsia" w:ascii="仿宋_GB2312" w:hAnsi="仿宋_GB2312" w:eastAsia="仿宋_GB2312" w:cs="仿宋_GB2312"/>
                <w:b w:val="0"/>
                <w:bCs w:val="0"/>
                <w:snapToGrid/>
                <w:kern w:val="2"/>
                <w:sz w:val="24"/>
                <w:szCs w:val="24"/>
                <w:lang w:eastAsia="zh-CN"/>
              </w:rPr>
              <w:t>HDMI线</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7411DA3F">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c>
          <w:tcPr>
            <w:tcW w:w="1552" w:type="pct"/>
            <w:tcBorders>
              <w:top w:val="single" w:color="auto" w:sz="4" w:space="0"/>
              <w:left w:val="single" w:color="auto" w:sz="4" w:space="0"/>
              <w:bottom w:val="single" w:color="auto" w:sz="4" w:space="0"/>
              <w:right w:val="single" w:color="auto" w:sz="4" w:space="0"/>
            </w:tcBorders>
            <w:noWrap w:val="0"/>
            <w:vAlign w:val="center"/>
          </w:tcPr>
          <w:p w14:paraId="17128BC1">
            <w:pPr>
              <w:widowControl w:val="0"/>
              <w:kinsoku/>
              <w:autoSpaceDE/>
              <w:autoSpaceDN/>
              <w:adjustRightInd/>
              <w:snapToGrid/>
              <w:ind w:firstLine="360"/>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2ED8548A">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5根</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2CA31764">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c>
          <w:tcPr>
            <w:tcW w:w="259" w:type="pct"/>
            <w:tcBorders>
              <w:top w:val="single" w:color="auto" w:sz="4" w:space="0"/>
              <w:left w:val="single" w:color="auto" w:sz="4" w:space="0"/>
              <w:bottom w:val="single" w:color="auto" w:sz="4" w:space="0"/>
              <w:right w:val="single" w:color="auto" w:sz="4" w:space="0"/>
            </w:tcBorders>
            <w:noWrap w:val="0"/>
            <w:vAlign w:val="center"/>
          </w:tcPr>
          <w:p w14:paraId="4988F5CA">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3348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nil"/>
              <w:left w:val="single" w:color="auto" w:sz="4" w:space="0"/>
              <w:bottom w:val="single" w:color="auto" w:sz="4" w:space="0"/>
              <w:right w:val="single" w:color="auto" w:sz="4" w:space="0"/>
            </w:tcBorders>
            <w:noWrap w:val="0"/>
            <w:vAlign w:val="center"/>
          </w:tcPr>
          <w:p w14:paraId="5BCB87FE">
            <w:pPr>
              <w:widowControl w:val="0"/>
              <w:kinsoku/>
              <w:autoSpaceDE/>
              <w:autoSpaceDN/>
              <w:adjustRightInd/>
              <w:snapToGrid/>
              <w:textAlignment w:val="auto"/>
              <w:rPr>
                <w:rFonts w:hint="eastAsia" w:ascii="仿宋_GB2312" w:hAnsi="仿宋_GB2312" w:eastAsia="仿宋_GB2312" w:cs="仿宋_GB2312"/>
                <w:b w:val="0"/>
                <w:bCs w:val="0"/>
                <w:snapToGrid/>
                <w:color w:val="auto"/>
                <w:kern w:val="2"/>
                <w:sz w:val="24"/>
                <w:szCs w:val="24"/>
                <w:lang w:eastAsia="zh-CN"/>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6590A20A">
            <w:pPr>
              <w:widowControl w:val="0"/>
              <w:kinsoku/>
              <w:autoSpaceDE/>
              <w:autoSpaceDN/>
              <w:adjustRightInd/>
              <w:snapToGrid/>
              <w:jc w:val="center"/>
              <w:textAlignment w:val="auto"/>
              <w:rPr>
                <w:rFonts w:hint="eastAsia" w:ascii="仿宋_GB2312" w:hAnsi="仿宋_GB2312" w:eastAsia="仿宋_GB2312" w:cs="仿宋_GB2312"/>
                <w:b w:val="0"/>
                <w:bCs w:val="0"/>
                <w:snapToGrid/>
                <w:color w:val="FF0000"/>
                <w:kern w:val="2"/>
                <w:sz w:val="24"/>
                <w:szCs w:val="24"/>
                <w:highlight w:val="yellow"/>
                <w:lang w:eastAsia="zh-CN"/>
              </w:rPr>
            </w:pPr>
            <w:r>
              <w:rPr>
                <w:rFonts w:hint="eastAsia" w:ascii="仿宋_GB2312" w:hAnsi="仿宋_GB2312" w:eastAsia="仿宋_GB2312" w:cs="仿宋_GB2312"/>
                <w:b w:val="0"/>
                <w:bCs w:val="0"/>
                <w:snapToGrid/>
                <w:kern w:val="2"/>
                <w:sz w:val="24"/>
                <w:szCs w:val="24"/>
                <w:lang w:eastAsia="zh-CN"/>
              </w:rPr>
              <w:t>切屏器</w:t>
            </w:r>
          </w:p>
        </w:tc>
        <w:tc>
          <w:tcPr>
            <w:tcW w:w="400" w:type="pct"/>
            <w:tcBorders>
              <w:top w:val="single" w:color="auto" w:sz="4" w:space="0"/>
              <w:left w:val="single" w:color="auto" w:sz="4" w:space="0"/>
              <w:bottom w:val="single" w:color="auto" w:sz="4" w:space="0"/>
              <w:right w:val="single" w:color="auto" w:sz="4" w:space="0"/>
            </w:tcBorders>
            <w:noWrap w:val="0"/>
            <w:vAlign w:val="center"/>
          </w:tcPr>
          <w:p w14:paraId="358F35A0">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c>
          <w:tcPr>
            <w:tcW w:w="1552" w:type="pct"/>
            <w:tcBorders>
              <w:top w:val="single" w:color="auto" w:sz="4" w:space="0"/>
              <w:left w:val="single" w:color="auto" w:sz="4" w:space="0"/>
              <w:bottom w:val="single" w:color="auto" w:sz="4" w:space="0"/>
              <w:right w:val="single" w:color="auto" w:sz="4" w:space="0"/>
            </w:tcBorders>
            <w:noWrap w:val="0"/>
            <w:vAlign w:val="center"/>
          </w:tcPr>
          <w:p w14:paraId="33BC5388">
            <w:pPr>
              <w:widowControl w:val="0"/>
              <w:kinsoku/>
              <w:autoSpaceDE/>
              <w:autoSpaceDN/>
              <w:adjustRightInd/>
              <w:snapToGrid/>
              <w:ind w:firstLine="360"/>
              <w:textAlignment w:val="auto"/>
              <w:rPr>
                <w:rFonts w:hint="eastAsia" w:ascii="仿宋_GB2312" w:hAnsi="仿宋_GB2312" w:eastAsia="仿宋_GB2312" w:cs="仿宋_GB2312"/>
                <w:b w:val="0"/>
                <w:bCs w:val="0"/>
                <w:snapToGrid/>
                <w:color w:val="auto"/>
                <w:kern w:val="2"/>
                <w:sz w:val="24"/>
                <w:szCs w:val="24"/>
                <w:lang w:eastAsia="zh-CN"/>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08839BD3">
            <w:pPr>
              <w:widowControl w:val="0"/>
              <w:kinsoku/>
              <w:autoSpaceDE/>
              <w:autoSpaceDN/>
              <w:adjustRightInd/>
              <w:snapToGrid/>
              <w:jc w:val="center"/>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1台</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4FEB8CA9">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c>
          <w:tcPr>
            <w:tcW w:w="259" w:type="pct"/>
            <w:tcBorders>
              <w:top w:val="single" w:color="auto" w:sz="4" w:space="0"/>
              <w:left w:val="single" w:color="auto" w:sz="4" w:space="0"/>
              <w:bottom w:val="single" w:color="auto" w:sz="4" w:space="0"/>
              <w:right w:val="single" w:color="auto" w:sz="4" w:space="0"/>
            </w:tcBorders>
            <w:noWrap w:val="0"/>
            <w:vAlign w:val="center"/>
          </w:tcPr>
          <w:p w14:paraId="155FB7CC">
            <w:pPr>
              <w:widowControl w:val="0"/>
              <w:kinsoku/>
              <w:autoSpaceDE/>
              <w:autoSpaceDN/>
              <w:adjustRightInd/>
              <w:snapToGrid/>
              <w:ind w:firstLine="360"/>
              <w:jc w:val="center"/>
              <w:textAlignment w:val="auto"/>
              <w:rPr>
                <w:rFonts w:hint="eastAsia" w:ascii="仿宋_GB2312" w:hAnsi="仿宋_GB2312" w:eastAsia="仿宋_GB2312" w:cs="仿宋_GB2312"/>
                <w:b w:val="0"/>
                <w:bCs w:val="0"/>
                <w:snapToGrid/>
                <w:color w:val="auto"/>
                <w:kern w:val="2"/>
                <w:sz w:val="24"/>
                <w:szCs w:val="24"/>
                <w:lang w:eastAsia="zh-CN"/>
              </w:rPr>
            </w:pPr>
          </w:p>
        </w:tc>
      </w:tr>
      <w:tr w14:paraId="5512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730" w:type="pct"/>
            <w:tcBorders>
              <w:top w:val="single" w:color="auto" w:sz="4" w:space="0"/>
              <w:left w:val="single" w:color="auto" w:sz="4" w:space="0"/>
              <w:bottom w:val="single" w:color="auto" w:sz="4" w:space="0"/>
              <w:right w:val="single" w:color="auto" w:sz="4" w:space="0"/>
            </w:tcBorders>
            <w:noWrap w:val="0"/>
            <w:vAlign w:val="top"/>
          </w:tcPr>
          <w:p w14:paraId="345077CF">
            <w:pPr>
              <w:widowControl w:val="0"/>
              <w:kinsoku/>
              <w:autoSpaceDE/>
              <w:autoSpaceDN/>
              <w:adjustRightInd/>
              <w:snapToGrid/>
              <w:jc w:val="both"/>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技术支持</w:t>
            </w:r>
          </w:p>
        </w:tc>
        <w:tc>
          <w:tcPr>
            <w:tcW w:w="4269" w:type="pct"/>
            <w:gridSpan w:val="6"/>
            <w:tcBorders>
              <w:top w:val="single" w:color="auto" w:sz="4" w:space="0"/>
              <w:left w:val="single" w:color="auto" w:sz="4" w:space="0"/>
              <w:bottom w:val="single" w:color="auto" w:sz="4" w:space="0"/>
              <w:right w:val="single" w:color="auto" w:sz="4" w:space="0"/>
            </w:tcBorders>
            <w:noWrap w:val="0"/>
            <w:vAlign w:val="top"/>
          </w:tcPr>
          <w:p w14:paraId="4DF084B1">
            <w:pPr>
              <w:widowControl w:val="0"/>
              <w:kinsoku/>
              <w:autoSpaceDE/>
              <w:autoSpaceDN/>
              <w:adjustRightInd/>
              <w:snapToGrid/>
              <w:spacing w:line="360" w:lineRule="auto"/>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 xml:space="preserve">(一)设备技术保障 </w:t>
            </w:r>
          </w:p>
          <w:p w14:paraId="445B5AB0">
            <w:pPr>
              <w:widowControl w:val="0"/>
              <w:kinsoku/>
              <w:autoSpaceDE/>
              <w:autoSpaceDN/>
              <w:adjustRightInd/>
              <w:snapToGrid/>
              <w:spacing w:line="360" w:lineRule="auto"/>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ab/>
            </w:r>
            <w:r>
              <w:rPr>
                <w:rFonts w:hint="eastAsia" w:ascii="仿宋_GB2312" w:hAnsi="仿宋_GB2312" w:eastAsia="仿宋_GB2312" w:cs="仿宋_GB2312"/>
                <w:b w:val="0"/>
                <w:bCs w:val="0"/>
                <w:snapToGrid/>
                <w:color w:val="auto"/>
                <w:kern w:val="2"/>
                <w:sz w:val="24"/>
                <w:szCs w:val="24"/>
                <w:lang w:eastAsia="zh-CN"/>
              </w:rPr>
              <w:t xml:space="preserve">参赛选手要根据参赛项目的具体需求选择合适的设备，确保设备的性能稳定，功能完整;在比赛开始前，参赛选手要对选择的设备进行现场检查并确认，确保设备处于正常工作状态;参赛选手要明确设备故障处理方法。承办学校配备了技术人员和备用比赛设备及工具，以便在设备出现故障时能够迅速进行修复或替换。 </w:t>
            </w:r>
          </w:p>
          <w:p w14:paraId="5B0ACFD8">
            <w:pPr>
              <w:widowControl w:val="0"/>
              <w:kinsoku/>
              <w:autoSpaceDE/>
              <w:autoSpaceDN/>
              <w:adjustRightInd/>
              <w:snapToGrid/>
              <w:spacing w:line="360" w:lineRule="auto"/>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 xml:space="preserve">(二)安全操作规范 </w:t>
            </w:r>
          </w:p>
          <w:p w14:paraId="3BC62812">
            <w:pPr>
              <w:widowControl w:val="0"/>
              <w:kinsoku/>
              <w:autoSpaceDE/>
              <w:autoSpaceDN/>
              <w:adjustRightInd/>
              <w:snapToGrid/>
              <w:spacing w:line="360" w:lineRule="auto"/>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ab/>
            </w:r>
            <w:r>
              <w:rPr>
                <w:rFonts w:hint="eastAsia" w:ascii="仿宋_GB2312" w:hAnsi="仿宋_GB2312" w:eastAsia="仿宋_GB2312" w:cs="仿宋_GB2312"/>
                <w:b w:val="0"/>
                <w:bCs w:val="0"/>
                <w:snapToGrid/>
                <w:color w:val="auto"/>
                <w:kern w:val="2"/>
                <w:sz w:val="24"/>
                <w:szCs w:val="24"/>
                <w:lang w:eastAsia="zh-CN"/>
              </w:rPr>
              <w:t xml:space="preserve">参赛选手要熟知设备使用方法、安全操作规范和安全性能，能够熟练使用设备且安全文明操作，明确应急处理流程，以便在发生安全事故时能够迅速进行处理，另外，在比赛现场承办学校配备了专业的应急人员和急救设备。 </w:t>
            </w:r>
          </w:p>
          <w:p w14:paraId="4718A20E">
            <w:pPr>
              <w:widowControl w:val="0"/>
              <w:kinsoku/>
              <w:autoSpaceDE/>
              <w:autoSpaceDN/>
              <w:adjustRightInd/>
              <w:snapToGrid/>
              <w:spacing w:line="360" w:lineRule="auto"/>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(三)本赛项技术咨询与支持由</w:t>
            </w:r>
            <w:bookmarkStart w:id="0" w:name="OLE_LINK1"/>
            <w:r>
              <w:rPr>
                <w:rFonts w:hint="eastAsia" w:ascii="仿宋_GB2312" w:hAnsi="仿宋_GB2312" w:eastAsia="仿宋_GB2312" w:cs="仿宋_GB2312"/>
                <w:b w:val="0"/>
                <w:bCs w:val="0"/>
                <w:snapToGrid/>
                <w:color w:val="auto"/>
                <w:kern w:val="2"/>
                <w:sz w:val="24"/>
                <w:szCs w:val="24"/>
                <w:lang w:eastAsia="zh-CN"/>
              </w:rPr>
              <w:t>东软教育科技有限公司</w:t>
            </w:r>
            <w:bookmarkEnd w:id="0"/>
            <w:r>
              <w:rPr>
                <w:rFonts w:hint="eastAsia" w:ascii="仿宋_GB2312" w:hAnsi="仿宋_GB2312" w:eastAsia="仿宋_GB2312" w:cs="仿宋_GB2312"/>
                <w:b w:val="0"/>
                <w:bCs w:val="0"/>
                <w:snapToGrid/>
                <w:color w:val="auto"/>
                <w:kern w:val="2"/>
                <w:sz w:val="24"/>
                <w:szCs w:val="24"/>
                <w:lang w:eastAsia="zh-CN"/>
              </w:rPr>
              <w:t>提供。</w:t>
            </w:r>
          </w:p>
        </w:tc>
      </w:tr>
      <w:tr w14:paraId="51EC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730" w:type="pct"/>
            <w:tcBorders>
              <w:top w:val="single" w:color="auto" w:sz="4" w:space="0"/>
              <w:left w:val="single" w:color="auto" w:sz="4" w:space="0"/>
              <w:bottom w:val="single" w:color="auto" w:sz="4" w:space="0"/>
              <w:right w:val="single" w:color="auto" w:sz="4" w:space="0"/>
            </w:tcBorders>
            <w:noWrap w:val="0"/>
            <w:vAlign w:val="top"/>
          </w:tcPr>
          <w:p w14:paraId="676A714B">
            <w:pPr>
              <w:widowControl w:val="0"/>
              <w:kinsoku/>
              <w:autoSpaceDE/>
              <w:autoSpaceDN/>
              <w:adjustRightInd/>
              <w:snapToGrid/>
              <w:jc w:val="both"/>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场地及环境</w:t>
            </w:r>
          </w:p>
        </w:tc>
        <w:tc>
          <w:tcPr>
            <w:tcW w:w="4269" w:type="pct"/>
            <w:gridSpan w:val="6"/>
            <w:tcBorders>
              <w:top w:val="single" w:color="auto" w:sz="4" w:space="0"/>
              <w:left w:val="single" w:color="auto" w:sz="4" w:space="0"/>
              <w:bottom w:val="single" w:color="auto" w:sz="4" w:space="0"/>
              <w:right w:val="single" w:color="auto" w:sz="4" w:space="0"/>
            </w:tcBorders>
            <w:noWrap w:val="0"/>
            <w:vAlign w:val="top"/>
          </w:tcPr>
          <w:p w14:paraId="7AEDF1E9">
            <w:pPr>
              <w:widowControl w:val="0"/>
              <w:kinsoku/>
              <w:autoSpaceDE/>
              <w:autoSpaceDN/>
              <w:adjustRightInd/>
              <w:snapToGrid/>
              <w:spacing w:line="360" w:lineRule="auto"/>
              <w:ind w:firstLine="360"/>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 xml:space="preserve">竞赛场地面积约100平米，参赛队的参赛展示区约20平米且标明区域;参赛展示区提供 稳定的供电和应急备用电源，提供无线网络环境;赛场入口及赛场内显眼位置公示应急疏散图，场地内相关区域配备必要的灭火器材。 </w:t>
            </w:r>
          </w:p>
        </w:tc>
      </w:tr>
      <w:tr w14:paraId="1942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30" w:type="pct"/>
            <w:tcBorders>
              <w:top w:val="single" w:color="auto" w:sz="4" w:space="0"/>
              <w:left w:val="single" w:color="auto" w:sz="4" w:space="0"/>
              <w:bottom w:val="single" w:color="auto" w:sz="4" w:space="0"/>
              <w:right w:val="single" w:color="auto" w:sz="4" w:space="0"/>
            </w:tcBorders>
            <w:noWrap w:val="0"/>
            <w:vAlign w:val="top"/>
          </w:tcPr>
          <w:p w14:paraId="1E81C460">
            <w:pPr>
              <w:widowControl w:val="0"/>
              <w:kinsoku/>
              <w:autoSpaceDE/>
              <w:autoSpaceDN/>
              <w:adjustRightInd/>
              <w:snapToGrid/>
              <w:jc w:val="both"/>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其他</w:t>
            </w:r>
          </w:p>
        </w:tc>
        <w:tc>
          <w:tcPr>
            <w:tcW w:w="4269" w:type="pct"/>
            <w:gridSpan w:val="6"/>
            <w:tcBorders>
              <w:top w:val="single" w:color="auto" w:sz="4" w:space="0"/>
              <w:left w:val="single" w:color="auto" w:sz="4" w:space="0"/>
              <w:bottom w:val="single" w:color="auto" w:sz="4" w:space="0"/>
              <w:right w:val="single" w:color="auto" w:sz="4" w:space="0"/>
            </w:tcBorders>
            <w:noWrap w:val="0"/>
            <w:vAlign w:val="top"/>
          </w:tcPr>
          <w:p w14:paraId="107ED459">
            <w:pPr>
              <w:widowControl w:val="0"/>
              <w:kinsoku/>
              <w:autoSpaceDE/>
              <w:autoSpaceDN/>
              <w:adjustRightInd/>
              <w:snapToGrid/>
              <w:spacing w:line="360" w:lineRule="auto"/>
              <w:ind w:firstLine="360"/>
              <w:jc w:val="both"/>
              <w:textAlignment w:val="auto"/>
              <w:rPr>
                <w:rFonts w:hint="eastAsia" w:ascii="仿宋_GB2312" w:hAnsi="仿宋_GB2312" w:eastAsia="仿宋_GB2312" w:cs="仿宋_GB2312"/>
                <w:b w:val="0"/>
                <w:bCs w:val="0"/>
                <w:snapToGrid/>
                <w:color w:val="auto"/>
                <w:kern w:val="2"/>
                <w:sz w:val="24"/>
                <w:szCs w:val="24"/>
                <w:lang w:eastAsia="zh-CN"/>
              </w:rPr>
            </w:pPr>
            <w:r>
              <w:rPr>
                <w:rFonts w:hint="eastAsia" w:ascii="仿宋_GB2312" w:hAnsi="仿宋_GB2312" w:eastAsia="仿宋_GB2312" w:cs="仿宋_GB2312"/>
                <w:b w:val="0"/>
                <w:bCs w:val="0"/>
                <w:snapToGrid/>
                <w:color w:val="auto"/>
                <w:kern w:val="2"/>
                <w:sz w:val="24"/>
                <w:szCs w:val="24"/>
                <w:lang w:eastAsia="zh-CN"/>
              </w:rPr>
              <w:t>其他所需设备及耗材由参数队自行携带并填写自带设备清单。</w:t>
            </w:r>
          </w:p>
        </w:tc>
      </w:tr>
    </w:tbl>
    <w:p w14:paraId="6E69C13A">
      <w:pPr>
        <w:spacing w:before="62" w:line="327" w:lineRule="auto"/>
        <w:jc w:val="both"/>
        <w:rPr>
          <w:rFonts w:hint="eastAsia" w:ascii="仿宋_GB2312" w:hAnsi="仿宋_GB2312" w:eastAsia="仿宋_GB2312" w:cs="仿宋_GB2312"/>
          <w:sz w:val="31"/>
          <w:szCs w:val="31"/>
          <w:lang w:eastAsia="zh-CN"/>
        </w:rPr>
      </w:pPr>
    </w:p>
    <w:p w14:paraId="4ABE3CB7">
      <w:pPr>
        <w:spacing w:before="209" w:line="228" w:lineRule="auto"/>
        <w:ind w:left="634"/>
        <w:outlineLvl w:val="0"/>
        <w:rPr>
          <w:rFonts w:hint="eastAsia" w:ascii="黑体" w:hAnsi="黑体" w:eastAsia="黑体" w:cs="黑体"/>
          <w:spacing w:val="8"/>
          <w:sz w:val="31"/>
          <w:szCs w:val="31"/>
          <w:lang w:eastAsia="zh-CN"/>
        </w:rPr>
      </w:pPr>
      <w:r>
        <w:rPr>
          <w:rFonts w:ascii="黑体" w:hAnsi="黑体" w:eastAsia="黑体" w:cs="黑体"/>
          <w:spacing w:val="8"/>
          <w:sz w:val="31"/>
          <w:szCs w:val="31"/>
          <w:lang w:eastAsia="zh-CN"/>
        </w:rPr>
        <w:t>八、评分标准</w:t>
      </w:r>
    </w:p>
    <w:p w14:paraId="5A1C7A27">
      <w:pPr>
        <w:spacing w:before="100" w:line="229" w:lineRule="auto"/>
        <w:ind w:left="682"/>
        <w:outlineLvl w:val="1"/>
        <w:rPr>
          <w:rFonts w:ascii="楷体" w:hAnsi="楷体" w:eastAsia="楷体" w:cs="楷体"/>
          <w:spacing w:val="3"/>
          <w:sz w:val="31"/>
          <w:szCs w:val="31"/>
          <w:lang w:eastAsia="zh-CN"/>
        </w:rPr>
      </w:pPr>
      <w:r>
        <w:rPr>
          <w:rFonts w:hint="eastAsia" w:ascii="楷体" w:hAnsi="楷体" w:eastAsia="楷体" w:cs="楷体"/>
          <w:spacing w:val="3"/>
          <w:sz w:val="31"/>
          <w:szCs w:val="31"/>
          <w:lang w:eastAsia="zh-CN"/>
        </w:rPr>
        <w:t>（一）制订原则。</w:t>
      </w:r>
    </w:p>
    <w:p w14:paraId="7A949192">
      <w:pPr>
        <w:spacing w:before="326" w:line="323" w:lineRule="auto"/>
        <w:ind w:left="135" w:right="109" w:firstLine="645"/>
        <w:jc w:val="both"/>
        <w:rPr>
          <w:rFonts w:hint="eastAsia" w:eastAsia="仿宋"/>
          <w:lang w:eastAsia="zh-CN"/>
        </w:rPr>
      </w:pPr>
      <w:r>
        <w:rPr>
          <w:rFonts w:ascii="仿宋" w:hAnsi="仿宋" w:eastAsia="仿宋" w:cs="仿宋"/>
          <w:spacing w:val="4"/>
          <w:sz w:val="31"/>
          <w:szCs w:val="31"/>
          <w:lang w:eastAsia="zh-CN"/>
        </w:rPr>
        <w:t>突出能力导向、解决实际问题、体现创新因素、确保公平</w:t>
      </w:r>
      <w:r>
        <w:rPr>
          <w:rFonts w:ascii="仿宋" w:hAnsi="仿宋" w:eastAsia="仿宋" w:cs="仿宋"/>
          <w:spacing w:val="5"/>
          <w:sz w:val="31"/>
          <w:szCs w:val="31"/>
          <w:lang w:eastAsia="zh-CN"/>
        </w:rPr>
        <w:t>为评分原则，依据参赛选手整体表现综合评定，全面评价参赛</w:t>
      </w:r>
      <w:r>
        <w:rPr>
          <w:rFonts w:ascii="仿宋" w:hAnsi="仿宋" w:eastAsia="仿宋" w:cs="仿宋"/>
          <w:sz w:val="31"/>
          <w:szCs w:val="31"/>
          <w:lang w:eastAsia="zh-CN"/>
        </w:rPr>
        <w:t xml:space="preserve"> </w:t>
      </w:r>
      <w:r>
        <w:rPr>
          <w:rFonts w:ascii="仿宋" w:hAnsi="仿宋" w:eastAsia="仿宋" w:cs="仿宋"/>
          <w:spacing w:val="5"/>
          <w:sz w:val="31"/>
          <w:szCs w:val="31"/>
          <w:lang w:eastAsia="zh-CN"/>
        </w:rPr>
        <w:t>选手职业技能水平</w:t>
      </w:r>
      <w:r>
        <w:rPr>
          <w:rFonts w:hint="eastAsia" w:ascii="仿宋" w:hAnsi="仿宋" w:eastAsia="仿宋" w:cs="仿宋"/>
          <w:spacing w:val="5"/>
          <w:sz w:val="31"/>
          <w:szCs w:val="31"/>
          <w:lang w:eastAsia="zh-CN"/>
        </w:rPr>
        <w:t>。</w:t>
      </w:r>
    </w:p>
    <w:p w14:paraId="49BBD3B8">
      <w:pPr>
        <w:spacing w:before="100" w:line="229" w:lineRule="auto"/>
        <w:ind w:left="682"/>
        <w:outlineLvl w:val="1"/>
        <w:rPr>
          <w:rFonts w:ascii="楷体" w:hAnsi="楷体" w:eastAsia="楷体" w:cs="楷体"/>
          <w:sz w:val="31"/>
          <w:szCs w:val="31"/>
          <w:lang w:eastAsia="zh-CN"/>
        </w:rPr>
      </w:pPr>
      <w:r>
        <w:rPr>
          <w:rFonts w:ascii="楷体" w:hAnsi="楷体" w:eastAsia="楷体" w:cs="楷体"/>
          <w:spacing w:val="3"/>
          <w:sz w:val="31"/>
          <w:szCs w:val="31"/>
          <w:lang w:eastAsia="zh-CN"/>
        </w:rPr>
        <w:t>（</w:t>
      </w:r>
      <w:r>
        <w:rPr>
          <w:rFonts w:hint="eastAsia" w:ascii="楷体" w:hAnsi="楷体" w:eastAsia="楷体" w:cs="楷体"/>
          <w:spacing w:val="3"/>
          <w:sz w:val="31"/>
          <w:szCs w:val="31"/>
          <w:lang w:eastAsia="zh-CN"/>
        </w:rPr>
        <w:t>二</w:t>
      </w:r>
      <w:r>
        <w:rPr>
          <w:rFonts w:ascii="楷体" w:hAnsi="楷体" w:eastAsia="楷体" w:cs="楷体"/>
          <w:spacing w:val="3"/>
          <w:sz w:val="31"/>
          <w:szCs w:val="31"/>
          <w:lang w:eastAsia="zh-CN"/>
        </w:rPr>
        <w:t>）评分要素。</w:t>
      </w:r>
    </w:p>
    <w:p w14:paraId="7E820583">
      <w:pPr>
        <w:spacing w:before="326" w:line="323" w:lineRule="auto"/>
        <w:ind w:left="135" w:right="109" w:firstLine="645"/>
        <w:jc w:val="both"/>
        <w:rPr>
          <w:rFonts w:ascii="仿宋" w:hAnsi="仿宋" w:eastAsia="仿宋" w:cs="仿宋"/>
          <w:spacing w:val="4"/>
          <w:sz w:val="31"/>
          <w:szCs w:val="31"/>
          <w:lang w:eastAsia="zh-CN"/>
        </w:rPr>
      </w:pPr>
      <w:r>
        <w:rPr>
          <w:rFonts w:ascii="仿宋" w:hAnsi="仿宋" w:eastAsia="仿宋" w:cs="仿宋"/>
          <w:spacing w:val="4"/>
          <w:sz w:val="31"/>
          <w:szCs w:val="31"/>
          <w:lang w:eastAsia="zh-CN"/>
        </w:rPr>
        <w:t>主要从技能水平60%</w:t>
      </w:r>
      <w:r>
        <w:rPr>
          <w:rFonts w:hint="eastAsia" w:ascii="仿宋" w:hAnsi="仿宋" w:eastAsia="仿宋" w:cs="仿宋"/>
          <w:spacing w:val="4"/>
          <w:sz w:val="31"/>
          <w:szCs w:val="31"/>
          <w:lang w:eastAsia="zh-CN"/>
        </w:rPr>
        <w:t>、</w:t>
      </w:r>
      <w:r>
        <w:rPr>
          <w:rFonts w:ascii="仿宋" w:hAnsi="仿宋" w:eastAsia="仿宋" w:cs="仿宋"/>
          <w:spacing w:val="4"/>
          <w:sz w:val="31"/>
          <w:szCs w:val="31"/>
          <w:lang w:eastAsia="zh-CN"/>
        </w:rPr>
        <w:t>职业素养10%、应用价值10%、团队 合作10%</w:t>
      </w:r>
      <w:r>
        <w:rPr>
          <w:rFonts w:hint="eastAsia" w:ascii="仿宋" w:hAnsi="仿宋" w:eastAsia="仿宋" w:cs="仿宋"/>
          <w:spacing w:val="4"/>
          <w:sz w:val="31"/>
          <w:szCs w:val="31"/>
          <w:lang w:eastAsia="zh-CN"/>
        </w:rPr>
        <w:t>、</w:t>
      </w:r>
      <w:r>
        <w:rPr>
          <w:rFonts w:ascii="仿宋" w:hAnsi="仿宋" w:eastAsia="仿宋" w:cs="仿宋"/>
          <w:spacing w:val="4"/>
          <w:sz w:val="31"/>
          <w:szCs w:val="31"/>
          <w:lang w:eastAsia="zh-CN"/>
        </w:rPr>
        <w:t>创新创意10%等五个方面，按权重对参赛队伍做整体评价（评分要素见表</w:t>
      </w:r>
      <w:r>
        <w:rPr>
          <w:rFonts w:hint="eastAsia" w:ascii="仿宋" w:hAnsi="仿宋" w:eastAsia="仿宋" w:cs="仿宋"/>
          <w:spacing w:val="4"/>
          <w:sz w:val="31"/>
          <w:szCs w:val="31"/>
          <w:lang w:val="en-US" w:eastAsia="zh-CN"/>
        </w:rPr>
        <w:t>2</w:t>
      </w:r>
      <w:r>
        <w:rPr>
          <w:rFonts w:ascii="仿宋" w:hAnsi="仿宋" w:eastAsia="仿宋" w:cs="仿宋"/>
          <w:spacing w:val="4"/>
          <w:sz w:val="31"/>
          <w:szCs w:val="31"/>
          <w:lang w:eastAsia="zh-CN"/>
        </w:rPr>
        <w:t>）。</w:t>
      </w:r>
    </w:p>
    <w:p w14:paraId="1F1126A8">
      <w:pPr>
        <w:spacing w:before="84" w:line="222" w:lineRule="auto"/>
        <w:jc w:val="center"/>
        <w:rPr>
          <w:rFonts w:ascii="仿宋" w:hAnsi="仿宋" w:eastAsia="仿宋" w:cs="仿宋"/>
          <w:sz w:val="28"/>
          <w:szCs w:val="28"/>
        </w:rPr>
      </w:pPr>
      <w:r>
        <w:rPr>
          <w:rFonts w:ascii="仿宋" w:hAnsi="仿宋" w:eastAsia="仿宋" w:cs="仿宋"/>
          <w:b/>
          <w:bCs/>
          <w:spacing w:val="-4"/>
          <w:sz w:val="28"/>
          <w:szCs w:val="28"/>
        </w:rPr>
        <w:t>表</w:t>
      </w:r>
      <w:r>
        <w:rPr>
          <w:rFonts w:ascii="仿宋" w:hAnsi="仿宋" w:eastAsia="仿宋" w:cs="仿宋"/>
          <w:spacing w:val="-57"/>
          <w:sz w:val="28"/>
          <w:szCs w:val="28"/>
        </w:rPr>
        <w:t xml:space="preserve"> </w:t>
      </w:r>
      <w:r>
        <w:rPr>
          <w:rFonts w:ascii="仿宋" w:hAnsi="仿宋" w:eastAsia="仿宋" w:cs="仿宋"/>
          <w:b/>
          <w:bCs/>
          <w:spacing w:val="-4"/>
          <w:sz w:val="28"/>
          <w:szCs w:val="28"/>
        </w:rPr>
        <w:t>2</w:t>
      </w:r>
      <w:r>
        <w:rPr>
          <w:rFonts w:ascii="仿宋" w:hAnsi="仿宋" w:eastAsia="仿宋" w:cs="仿宋"/>
          <w:spacing w:val="-4"/>
          <w:sz w:val="28"/>
          <w:szCs w:val="28"/>
        </w:rPr>
        <w:t xml:space="preserve">  </w:t>
      </w:r>
      <w:r>
        <w:rPr>
          <w:rFonts w:ascii="仿宋" w:hAnsi="仿宋" w:eastAsia="仿宋" w:cs="仿宋"/>
          <w:b/>
          <w:bCs/>
          <w:spacing w:val="-4"/>
          <w:sz w:val="28"/>
          <w:szCs w:val="28"/>
        </w:rPr>
        <w:t>2025</w:t>
      </w:r>
      <w:r>
        <w:rPr>
          <w:rFonts w:ascii="仿宋" w:hAnsi="仿宋" w:eastAsia="仿宋" w:cs="仿宋"/>
          <w:spacing w:val="-48"/>
          <w:sz w:val="28"/>
          <w:szCs w:val="28"/>
        </w:rPr>
        <w:t xml:space="preserve"> </w:t>
      </w:r>
      <w:r>
        <w:rPr>
          <w:rFonts w:ascii="仿宋" w:hAnsi="仿宋" w:eastAsia="仿宋" w:cs="仿宋"/>
          <w:b/>
          <w:bCs/>
          <w:spacing w:val="-4"/>
          <w:sz w:val="28"/>
          <w:szCs w:val="28"/>
        </w:rPr>
        <w:t>年大赛</w:t>
      </w:r>
      <w:r>
        <w:rPr>
          <w:rFonts w:ascii="仿宋" w:hAnsi="仿宋" w:eastAsia="仿宋" w:cs="仿宋"/>
          <w:b/>
          <w:bCs/>
          <w:spacing w:val="-5"/>
          <w:sz w:val="28"/>
          <w:szCs w:val="28"/>
        </w:rPr>
        <w:t>评分要素</w:t>
      </w:r>
    </w:p>
    <w:p w14:paraId="1C3F7D08">
      <w:pPr>
        <w:spacing w:line="15" w:lineRule="exact"/>
      </w:pPr>
    </w:p>
    <w:tbl>
      <w:tblPr>
        <w:tblStyle w:val="7"/>
        <w:tblW w:w="88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
        <w:gridCol w:w="6840"/>
        <w:gridCol w:w="991"/>
      </w:tblGrid>
      <w:tr w14:paraId="17A90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06" w:type="dxa"/>
            <w:tcBorders>
              <w:right w:val="single" w:color="000000" w:sz="4" w:space="0"/>
            </w:tcBorders>
            <w:noWrap w:val="0"/>
            <w:vAlign w:val="top"/>
          </w:tcPr>
          <w:p w14:paraId="67102934">
            <w:pPr>
              <w:pStyle w:val="8"/>
              <w:spacing w:before="39" w:line="227" w:lineRule="auto"/>
              <w:ind w:left="307" w:right="238" w:hanging="11"/>
              <w:rPr>
                <w:rFonts w:hint="eastAsia" w:ascii="仿宋_GB2312" w:hAnsi="仿宋_GB2312" w:eastAsia="仿宋_GB2312" w:cs="仿宋_GB2312"/>
              </w:rPr>
            </w:pPr>
            <w:r>
              <w:rPr>
                <w:rFonts w:hint="eastAsia" w:ascii="仿宋_GB2312" w:hAnsi="仿宋_GB2312" w:eastAsia="仿宋_GB2312" w:cs="仿宋_GB2312"/>
                <w:b/>
                <w:bCs/>
                <w:spacing w:val="-16"/>
              </w:rPr>
              <w:t>评分</w:t>
            </w:r>
            <w:r>
              <w:rPr>
                <w:rFonts w:hint="eastAsia" w:ascii="仿宋_GB2312" w:hAnsi="仿宋_GB2312" w:eastAsia="仿宋_GB2312" w:cs="仿宋_GB2312"/>
              </w:rPr>
              <w:t xml:space="preserve"> </w:t>
            </w:r>
            <w:r>
              <w:rPr>
                <w:rFonts w:hint="eastAsia" w:ascii="仿宋_GB2312" w:hAnsi="仿宋_GB2312" w:eastAsia="仿宋_GB2312" w:cs="仿宋_GB2312"/>
                <w:b/>
                <w:bCs/>
                <w:spacing w:val="-17"/>
              </w:rPr>
              <w:t>要点</w:t>
            </w:r>
          </w:p>
        </w:tc>
        <w:tc>
          <w:tcPr>
            <w:tcW w:w="6840" w:type="dxa"/>
            <w:tcBorders>
              <w:left w:val="single" w:color="000000" w:sz="4" w:space="0"/>
              <w:right w:val="single" w:color="000000" w:sz="4" w:space="0"/>
            </w:tcBorders>
            <w:noWrap w:val="0"/>
            <w:vAlign w:val="top"/>
          </w:tcPr>
          <w:p w14:paraId="7AFCB476">
            <w:pPr>
              <w:pStyle w:val="8"/>
              <w:spacing w:before="201" w:line="222" w:lineRule="auto"/>
              <w:ind w:left="2883"/>
              <w:rPr>
                <w:rFonts w:hint="eastAsia" w:ascii="仿宋_GB2312" w:hAnsi="仿宋_GB2312" w:eastAsia="仿宋_GB2312" w:cs="仿宋_GB2312"/>
              </w:rPr>
            </w:pPr>
            <w:r>
              <w:rPr>
                <w:rFonts w:hint="eastAsia" w:ascii="仿宋_GB2312" w:hAnsi="仿宋_GB2312" w:eastAsia="仿宋_GB2312" w:cs="仿宋_GB2312"/>
                <w:b/>
                <w:bCs/>
                <w:spacing w:val="-14"/>
              </w:rPr>
              <w:t>评审内容</w:t>
            </w:r>
          </w:p>
        </w:tc>
        <w:tc>
          <w:tcPr>
            <w:tcW w:w="991" w:type="dxa"/>
            <w:tcBorders>
              <w:left w:val="single" w:color="000000" w:sz="4" w:space="0"/>
            </w:tcBorders>
            <w:noWrap w:val="0"/>
            <w:vAlign w:val="top"/>
          </w:tcPr>
          <w:p w14:paraId="3C841526">
            <w:pPr>
              <w:pStyle w:val="8"/>
              <w:spacing w:before="201" w:line="222" w:lineRule="auto"/>
              <w:jc w:val="center"/>
              <w:rPr>
                <w:rFonts w:hint="eastAsia" w:ascii="仿宋_GB2312" w:hAnsi="仿宋_GB2312" w:eastAsia="仿宋_GB2312" w:cs="仿宋_GB2312"/>
              </w:rPr>
            </w:pPr>
            <w:r>
              <w:rPr>
                <w:rFonts w:hint="eastAsia" w:ascii="仿宋_GB2312" w:hAnsi="仿宋_GB2312" w:eastAsia="仿宋_GB2312" w:cs="仿宋_GB2312"/>
                <w:b/>
                <w:bCs/>
                <w:spacing w:val="-11"/>
              </w:rPr>
              <w:t>权重</w:t>
            </w:r>
          </w:p>
        </w:tc>
      </w:tr>
      <w:tr w14:paraId="2E213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06" w:type="dxa"/>
            <w:tcBorders>
              <w:right w:val="single" w:color="000000" w:sz="4" w:space="0"/>
            </w:tcBorders>
            <w:noWrap w:val="0"/>
            <w:vAlign w:val="top"/>
          </w:tcPr>
          <w:p w14:paraId="2A433771">
            <w:pPr>
              <w:spacing w:line="275" w:lineRule="auto"/>
              <w:rPr>
                <w:rFonts w:hint="eastAsia" w:ascii="仿宋_GB2312" w:hAnsi="仿宋_GB2312" w:eastAsia="仿宋_GB2312" w:cs="仿宋_GB2312"/>
                <w:sz w:val="24"/>
                <w:szCs w:val="24"/>
              </w:rPr>
            </w:pPr>
          </w:p>
          <w:p w14:paraId="5FE2BEE6">
            <w:pPr>
              <w:pStyle w:val="8"/>
              <w:spacing w:before="78" w:line="235" w:lineRule="auto"/>
              <w:ind w:left="292" w:right="245" w:firstLine="11"/>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技能</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3"/>
                <w:sz w:val="24"/>
                <w:szCs w:val="24"/>
              </w:rPr>
              <w:t>水平</w:t>
            </w:r>
          </w:p>
        </w:tc>
        <w:tc>
          <w:tcPr>
            <w:tcW w:w="6840" w:type="dxa"/>
            <w:tcBorders>
              <w:left w:val="single" w:color="000000" w:sz="4" w:space="0"/>
              <w:right w:val="single" w:color="000000" w:sz="4" w:space="0"/>
            </w:tcBorders>
            <w:noWrap w:val="0"/>
            <w:vAlign w:val="top"/>
          </w:tcPr>
          <w:p w14:paraId="482E6655">
            <w:pPr>
              <w:pStyle w:val="8"/>
              <w:spacing w:before="206" w:line="220" w:lineRule="auto"/>
              <w:ind w:left="254"/>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1.熟练掌握本专业或工作岗位的技能。</w:t>
            </w:r>
          </w:p>
          <w:p w14:paraId="2E05F946">
            <w:pPr>
              <w:pStyle w:val="8"/>
              <w:spacing w:before="23" w:line="220" w:lineRule="auto"/>
              <w:ind w:left="234"/>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2.技能操作规范，符合行业和岗位标准。</w:t>
            </w:r>
          </w:p>
          <w:p w14:paraId="1EB029A5">
            <w:pPr>
              <w:pStyle w:val="8"/>
              <w:spacing w:before="25" w:line="220" w:lineRule="auto"/>
              <w:ind w:left="241"/>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3.具备较高的技能操作水平及解决复杂问题的综合能力。</w:t>
            </w:r>
          </w:p>
        </w:tc>
        <w:tc>
          <w:tcPr>
            <w:tcW w:w="991" w:type="dxa"/>
            <w:tcBorders>
              <w:left w:val="single" w:color="000000" w:sz="4" w:space="0"/>
            </w:tcBorders>
            <w:noWrap w:val="0"/>
            <w:vAlign w:val="top"/>
          </w:tcPr>
          <w:p w14:paraId="717C7734">
            <w:pPr>
              <w:spacing w:line="435" w:lineRule="auto"/>
              <w:jc w:val="center"/>
              <w:rPr>
                <w:rFonts w:hint="eastAsia" w:ascii="仿宋_GB2312" w:hAnsi="仿宋_GB2312" w:eastAsia="仿宋_GB2312" w:cs="仿宋_GB2312"/>
                <w:sz w:val="24"/>
                <w:szCs w:val="24"/>
              </w:rPr>
            </w:pPr>
          </w:p>
          <w:p w14:paraId="24BA688F">
            <w:pPr>
              <w:pStyle w:val="8"/>
              <w:spacing w:before="7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60%</w:t>
            </w:r>
          </w:p>
        </w:tc>
      </w:tr>
      <w:tr w14:paraId="15DC0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1006" w:type="dxa"/>
            <w:tcBorders>
              <w:right w:val="single" w:color="000000" w:sz="4" w:space="0"/>
            </w:tcBorders>
            <w:noWrap w:val="0"/>
            <w:vAlign w:val="top"/>
          </w:tcPr>
          <w:p w14:paraId="34054D39">
            <w:pPr>
              <w:spacing w:line="400" w:lineRule="auto"/>
              <w:rPr>
                <w:rFonts w:hint="eastAsia" w:ascii="仿宋_GB2312" w:hAnsi="仿宋_GB2312" w:eastAsia="仿宋_GB2312" w:cs="仿宋_GB2312"/>
                <w:sz w:val="24"/>
                <w:szCs w:val="24"/>
              </w:rPr>
            </w:pPr>
          </w:p>
          <w:p w14:paraId="796BEF88">
            <w:pPr>
              <w:pStyle w:val="8"/>
              <w:spacing w:before="78" w:line="233" w:lineRule="auto"/>
              <w:ind w:left="329" w:right="236" w:hanging="13"/>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职业</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5"/>
                <w:sz w:val="24"/>
                <w:szCs w:val="24"/>
              </w:rPr>
              <w:t>素养</w:t>
            </w:r>
          </w:p>
        </w:tc>
        <w:tc>
          <w:tcPr>
            <w:tcW w:w="6840" w:type="dxa"/>
            <w:tcBorders>
              <w:left w:val="single" w:color="000000" w:sz="4" w:space="0"/>
              <w:right w:val="single" w:color="000000" w:sz="4" w:space="0"/>
            </w:tcBorders>
            <w:noWrap w:val="0"/>
            <w:vAlign w:val="top"/>
          </w:tcPr>
          <w:p w14:paraId="4B2BB327">
            <w:pPr>
              <w:pStyle w:val="8"/>
              <w:spacing w:before="173" w:line="222" w:lineRule="auto"/>
              <w:ind w:left="254"/>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1.展现较好的职业伦理，具有工匠精神。</w:t>
            </w:r>
          </w:p>
          <w:p w14:paraId="3037BB1E">
            <w:pPr>
              <w:pStyle w:val="8"/>
              <w:spacing w:before="24" w:line="230" w:lineRule="auto"/>
              <w:ind w:left="240" w:right="219" w:hanging="16"/>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2.展现学校对学生全面培养、基本素养培育和成长发展</w:t>
            </w:r>
            <w:r>
              <w:rPr>
                <w:rFonts w:hint="eastAsia" w:ascii="仿宋_GB2312" w:hAnsi="仿宋_GB2312" w:eastAsia="仿宋_GB2312" w:cs="仿宋_GB2312"/>
                <w:spacing w:val="-21"/>
                <w:sz w:val="24"/>
                <w:szCs w:val="24"/>
              </w:rPr>
              <w:t>的成效。</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8"/>
                <w:sz w:val="24"/>
                <w:szCs w:val="24"/>
              </w:rPr>
              <w:t>3.展现职业教育育人成果，体现产教融合、科教融汇。</w:t>
            </w:r>
          </w:p>
          <w:p w14:paraId="0ED6C747">
            <w:pPr>
              <w:pStyle w:val="8"/>
              <w:spacing w:before="22" w:line="221" w:lineRule="auto"/>
              <w:ind w:left="232"/>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4.具备良好的职业道德、职业精神、职业素养。</w:t>
            </w:r>
          </w:p>
        </w:tc>
        <w:tc>
          <w:tcPr>
            <w:tcW w:w="991" w:type="dxa"/>
            <w:tcBorders>
              <w:left w:val="single" w:color="000000" w:sz="4" w:space="0"/>
            </w:tcBorders>
            <w:noWrap w:val="0"/>
            <w:vAlign w:val="top"/>
          </w:tcPr>
          <w:p w14:paraId="2805B2A0">
            <w:pPr>
              <w:spacing w:line="280" w:lineRule="auto"/>
              <w:jc w:val="center"/>
              <w:rPr>
                <w:rFonts w:hint="eastAsia" w:ascii="仿宋_GB2312" w:hAnsi="仿宋_GB2312" w:eastAsia="仿宋_GB2312" w:cs="仿宋_GB2312"/>
                <w:sz w:val="24"/>
                <w:szCs w:val="24"/>
              </w:rPr>
            </w:pPr>
          </w:p>
          <w:p w14:paraId="1DDBB4A0">
            <w:pPr>
              <w:spacing w:line="280" w:lineRule="auto"/>
              <w:jc w:val="center"/>
              <w:rPr>
                <w:rFonts w:hint="eastAsia" w:ascii="仿宋_GB2312" w:hAnsi="仿宋_GB2312" w:eastAsia="仿宋_GB2312" w:cs="仿宋_GB2312"/>
                <w:sz w:val="24"/>
                <w:szCs w:val="24"/>
              </w:rPr>
            </w:pPr>
          </w:p>
          <w:p w14:paraId="470D08EF">
            <w:pPr>
              <w:pStyle w:val="8"/>
              <w:spacing w:before="7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10%</w:t>
            </w:r>
          </w:p>
        </w:tc>
      </w:tr>
      <w:tr w14:paraId="68683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9" w:hRule="atLeast"/>
        </w:trPr>
        <w:tc>
          <w:tcPr>
            <w:tcW w:w="1006" w:type="dxa"/>
            <w:tcBorders>
              <w:right w:val="single" w:color="000000" w:sz="4" w:space="0"/>
            </w:tcBorders>
            <w:noWrap w:val="0"/>
            <w:vAlign w:val="top"/>
          </w:tcPr>
          <w:p w14:paraId="3ACD7192">
            <w:pPr>
              <w:spacing w:line="300" w:lineRule="auto"/>
              <w:rPr>
                <w:rFonts w:hint="eastAsia" w:ascii="仿宋_GB2312" w:hAnsi="仿宋_GB2312" w:eastAsia="仿宋_GB2312" w:cs="仿宋_GB2312"/>
                <w:sz w:val="24"/>
                <w:szCs w:val="24"/>
              </w:rPr>
            </w:pPr>
          </w:p>
          <w:p w14:paraId="675B14F1">
            <w:pPr>
              <w:spacing w:line="301" w:lineRule="auto"/>
              <w:rPr>
                <w:rFonts w:hint="eastAsia" w:ascii="仿宋_GB2312" w:hAnsi="仿宋_GB2312" w:eastAsia="仿宋_GB2312" w:cs="仿宋_GB2312"/>
                <w:sz w:val="24"/>
                <w:szCs w:val="24"/>
              </w:rPr>
            </w:pPr>
          </w:p>
          <w:p w14:paraId="13533FE6">
            <w:pPr>
              <w:spacing w:line="301" w:lineRule="auto"/>
              <w:rPr>
                <w:rFonts w:hint="eastAsia" w:ascii="仿宋_GB2312" w:hAnsi="仿宋_GB2312" w:eastAsia="仿宋_GB2312" w:cs="仿宋_GB2312"/>
                <w:sz w:val="24"/>
                <w:szCs w:val="24"/>
              </w:rPr>
            </w:pPr>
          </w:p>
          <w:p w14:paraId="4658EE54">
            <w:pPr>
              <w:pStyle w:val="8"/>
              <w:spacing w:before="78" w:line="231" w:lineRule="auto"/>
              <w:ind w:left="299" w:right="243" w:firstLine="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应用</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4"/>
                <w:sz w:val="24"/>
                <w:szCs w:val="24"/>
              </w:rPr>
              <w:t>价值</w:t>
            </w:r>
          </w:p>
        </w:tc>
        <w:tc>
          <w:tcPr>
            <w:tcW w:w="6840" w:type="dxa"/>
            <w:tcBorders>
              <w:left w:val="single" w:color="000000" w:sz="4" w:space="0"/>
              <w:right w:val="single" w:color="000000" w:sz="4" w:space="0"/>
            </w:tcBorders>
            <w:noWrap w:val="0"/>
            <w:vAlign w:val="top"/>
          </w:tcPr>
          <w:p w14:paraId="55215BC6">
            <w:pPr>
              <w:pStyle w:val="8"/>
              <w:spacing w:before="208" w:line="222" w:lineRule="auto"/>
              <w:ind w:left="252"/>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1.有助于解决生产一线实际问题或现实困难。</w:t>
            </w:r>
          </w:p>
          <w:p w14:paraId="601995FE">
            <w:pPr>
              <w:pStyle w:val="8"/>
              <w:spacing w:before="21" w:line="231" w:lineRule="auto"/>
              <w:ind w:left="16" w:right="108" w:firstLine="212"/>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2.能够促进职业学校学生高质量就业，包括直接间接推动扩大就</w:t>
            </w:r>
            <w:r>
              <w:rPr>
                <w:rFonts w:hint="eastAsia" w:ascii="仿宋_GB2312" w:hAnsi="仿宋_GB2312" w:eastAsia="仿宋_GB2312" w:cs="仿宋_GB2312"/>
                <w:spacing w:val="16"/>
                <w:sz w:val="24"/>
                <w:szCs w:val="24"/>
              </w:rPr>
              <w:t xml:space="preserve"> </w:t>
            </w:r>
            <w:r>
              <w:rPr>
                <w:rFonts w:hint="eastAsia" w:ascii="仿宋_GB2312" w:hAnsi="仿宋_GB2312" w:eastAsia="仿宋_GB2312" w:cs="仿宋_GB2312"/>
                <w:spacing w:val="-22"/>
                <w:sz w:val="24"/>
                <w:szCs w:val="24"/>
              </w:rPr>
              <w:t>业规模等。</w:t>
            </w:r>
          </w:p>
          <w:p w14:paraId="1D1CCA7A">
            <w:pPr>
              <w:pStyle w:val="8"/>
              <w:spacing w:before="22" w:line="230" w:lineRule="auto"/>
              <w:ind w:left="18" w:right="69" w:firstLine="217"/>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3.对推动产业转型升级、区域经济发展、乡村振兴、城市社区治</w:t>
            </w: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pacing w:val="-16"/>
                <w:sz w:val="24"/>
                <w:szCs w:val="24"/>
              </w:rPr>
              <w:t>理、城乡融合发展等具有积极作用。</w:t>
            </w:r>
          </w:p>
          <w:p w14:paraId="6590C58C">
            <w:pPr>
              <w:pStyle w:val="8"/>
              <w:spacing w:before="24" w:line="231" w:lineRule="auto"/>
              <w:ind w:left="47" w:right="244" w:firstLine="206"/>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4.符合绿色低碳节能的可持续发展理念，有利</w:t>
            </w:r>
            <w:r>
              <w:rPr>
                <w:rFonts w:hint="eastAsia" w:ascii="仿宋_GB2312" w:hAnsi="仿宋_GB2312" w:eastAsia="仿宋_GB2312" w:cs="仿宋_GB2312"/>
                <w:spacing w:val="12"/>
                <w:sz w:val="24"/>
                <w:szCs w:val="24"/>
              </w:rPr>
              <w:t>于改善人</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0"/>
                <w:sz w:val="24"/>
                <w:szCs w:val="24"/>
              </w:rPr>
              <w:t>民生活、提升人民生活质量。</w:t>
            </w:r>
          </w:p>
        </w:tc>
        <w:tc>
          <w:tcPr>
            <w:tcW w:w="991" w:type="dxa"/>
            <w:tcBorders>
              <w:left w:val="single" w:color="000000" w:sz="4" w:space="0"/>
            </w:tcBorders>
            <w:noWrap w:val="0"/>
            <w:vAlign w:val="top"/>
          </w:tcPr>
          <w:p w14:paraId="38ADC22A">
            <w:pPr>
              <w:spacing w:line="264" w:lineRule="auto"/>
              <w:jc w:val="center"/>
              <w:rPr>
                <w:rFonts w:hint="eastAsia" w:ascii="仿宋_GB2312" w:hAnsi="仿宋_GB2312" w:eastAsia="仿宋_GB2312" w:cs="仿宋_GB2312"/>
                <w:sz w:val="24"/>
                <w:szCs w:val="24"/>
              </w:rPr>
            </w:pPr>
          </w:p>
          <w:p w14:paraId="0473AA77">
            <w:pPr>
              <w:spacing w:line="264" w:lineRule="auto"/>
              <w:jc w:val="center"/>
              <w:rPr>
                <w:rFonts w:hint="eastAsia" w:ascii="仿宋_GB2312" w:hAnsi="仿宋_GB2312" w:eastAsia="仿宋_GB2312" w:cs="仿宋_GB2312"/>
                <w:sz w:val="24"/>
                <w:szCs w:val="24"/>
              </w:rPr>
            </w:pPr>
          </w:p>
          <w:p w14:paraId="7A9991D5">
            <w:pPr>
              <w:spacing w:line="264" w:lineRule="auto"/>
              <w:jc w:val="center"/>
              <w:rPr>
                <w:rFonts w:hint="eastAsia" w:ascii="仿宋_GB2312" w:hAnsi="仿宋_GB2312" w:eastAsia="仿宋_GB2312" w:cs="仿宋_GB2312"/>
                <w:sz w:val="24"/>
                <w:szCs w:val="24"/>
              </w:rPr>
            </w:pPr>
          </w:p>
          <w:p w14:paraId="66D968EF">
            <w:pPr>
              <w:spacing w:line="265" w:lineRule="auto"/>
              <w:jc w:val="center"/>
              <w:rPr>
                <w:rFonts w:hint="eastAsia" w:ascii="仿宋_GB2312" w:hAnsi="仿宋_GB2312" w:eastAsia="仿宋_GB2312" w:cs="仿宋_GB2312"/>
                <w:sz w:val="24"/>
                <w:szCs w:val="24"/>
              </w:rPr>
            </w:pPr>
          </w:p>
          <w:p w14:paraId="2C94C497">
            <w:pPr>
              <w:pStyle w:val="8"/>
              <w:spacing w:before="7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10%</w:t>
            </w:r>
          </w:p>
        </w:tc>
      </w:tr>
      <w:tr w14:paraId="0B818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1006" w:type="dxa"/>
            <w:tcBorders>
              <w:right w:val="single" w:color="000000" w:sz="4" w:space="0"/>
            </w:tcBorders>
            <w:noWrap w:val="0"/>
            <w:vAlign w:val="top"/>
          </w:tcPr>
          <w:p w14:paraId="49268B8A">
            <w:pPr>
              <w:spacing w:line="291" w:lineRule="auto"/>
              <w:rPr>
                <w:rFonts w:hint="eastAsia" w:ascii="仿宋_GB2312" w:hAnsi="仿宋_GB2312" w:eastAsia="仿宋_GB2312" w:cs="仿宋_GB2312"/>
                <w:sz w:val="24"/>
                <w:szCs w:val="24"/>
              </w:rPr>
            </w:pPr>
          </w:p>
          <w:p w14:paraId="21DE8ED0">
            <w:pPr>
              <w:spacing w:line="291" w:lineRule="auto"/>
              <w:rPr>
                <w:rFonts w:hint="eastAsia" w:ascii="仿宋_GB2312" w:hAnsi="仿宋_GB2312" w:eastAsia="仿宋_GB2312" w:cs="仿宋_GB2312"/>
                <w:sz w:val="24"/>
                <w:szCs w:val="24"/>
              </w:rPr>
            </w:pPr>
          </w:p>
          <w:p w14:paraId="0B8D9ABB">
            <w:pPr>
              <w:pStyle w:val="8"/>
              <w:spacing w:before="78" w:line="234" w:lineRule="auto"/>
              <w:ind w:left="309" w:right="221" w:firstLine="61"/>
              <w:rPr>
                <w:rFonts w:hint="eastAsia" w:ascii="仿宋_GB2312" w:hAnsi="仿宋_GB2312" w:eastAsia="仿宋_GB2312" w:cs="仿宋_GB2312"/>
                <w:sz w:val="24"/>
                <w:szCs w:val="24"/>
              </w:rPr>
            </w:pPr>
            <w:r>
              <w:rPr>
                <w:rFonts w:hint="eastAsia" w:ascii="仿宋_GB2312" w:hAnsi="仿宋_GB2312" w:eastAsia="仿宋_GB2312" w:cs="仿宋_GB2312"/>
                <w:spacing w:val="-38"/>
                <w:sz w:val="24"/>
                <w:szCs w:val="24"/>
              </w:rPr>
              <w:t>团队</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2"/>
                <w:sz w:val="24"/>
                <w:szCs w:val="24"/>
              </w:rPr>
              <w:t>合作</w:t>
            </w:r>
          </w:p>
        </w:tc>
        <w:tc>
          <w:tcPr>
            <w:tcW w:w="6840" w:type="dxa"/>
            <w:tcBorders>
              <w:left w:val="single" w:color="000000" w:sz="4" w:space="0"/>
              <w:right w:val="single" w:color="000000" w:sz="4" w:space="0"/>
            </w:tcBorders>
            <w:noWrap w:val="0"/>
            <w:vAlign w:val="top"/>
          </w:tcPr>
          <w:p w14:paraId="48213F5F">
            <w:pPr>
              <w:pStyle w:val="8"/>
              <w:spacing w:before="193" w:line="231" w:lineRule="auto"/>
              <w:ind w:left="16" w:right="134" w:firstLine="230"/>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1.团队成员能够准确理解共同目标和任务，清楚自己的角色定位</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8"/>
                <w:sz w:val="24"/>
                <w:szCs w:val="24"/>
              </w:rPr>
              <w:t>和职责。</w:t>
            </w:r>
          </w:p>
          <w:p w14:paraId="08AB2389">
            <w:pPr>
              <w:pStyle w:val="8"/>
              <w:spacing w:before="22" w:line="219" w:lineRule="auto"/>
              <w:ind w:left="229"/>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2.团队成员在比赛中能够有效沟通、紧密协作。</w:t>
            </w:r>
          </w:p>
          <w:p w14:paraId="6E3C0703">
            <w:pPr>
              <w:pStyle w:val="8"/>
              <w:spacing w:before="45" w:line="221" w:lineRule="auto"/>
              <w:ind w:left="234"/>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3.团队成员能够相互补台，共同应对突发情况。</w:t>
            </w:r>
          </w:p>
          <w:p w14:paraId="75607313">
            <w:pPr>
              <w:pStyle w:val="8"/>
              <w:spacing w:before="24" w:line="222" w:lineRule="auto"/>
              <w:ind w:left="232"/>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4.团队成员相互尊重、信任和支持，拥有良好的团</w:t>
            </w:r>
            <w:r>
              <w:rPr>
                <w:rFonts w:hint="eastAsia" w:ascii="仿宋_GB2312" w:hAnsi="仿宋_GB2312" w:eastAsia="仿宋_GB2312" w:cs="仿宋_GB2312"/>
                <w:spacing w:val="-12"/>
                <w:sz w:val="24"/>
                <w:szCs w:val="24"/>
              </w:rPr>
              <w:t>队氛围。</w:t>
            </w:r>
          </w:p>
        </w:tc>
        <w:tc>
          <w:tcPr>
            <w:tcW w:w="991" w:type="dxa"/>
            <w:tcBorders>
              <w:left w:val="single" w:color="000000" w:sz="4" w:space="0"/>
            </w:tcBorders>
            <w:noWrap w:val="0"/>
            <w:vAlign w:val="top"/>
          </w:tcPr>
          <w:p w14:paraId="7F561037">
            <w:pPr>
              <w:spacing w:line="247" w:lineRule="auto"/>
              <w:jc w:val="center"/>
              <w:rPr>
                <w:rFonts w:hint="eastAsia" w:ascii="仿宋_GB2312" w:hAnsi="仿宋_GB2312" w:eastAsia="仿宋_GB2312" w:cs="仿宋_GB2312"/>
                <w:sz w:val="24"/>
                <w:szCs w:val="24"/>
              </w:rPr>
            </w:pPr>
          </w:p>
          <w:p w14:paraId="2F561191">
            <w:pPr>
              <w:spacing w:line="248" w:lineRule="auto"/>
              <w:jc w:val="center"/>
              <w:rPr>
                <w:rFonts w:hint="eastAsia" w:ascii="仿宋_GB2312" w:hAnsi="仿宋_GB2312" w:eastAsia="仿宋_GB2312" w:cs="仿宋_GB2312"/>
                <w:sz w:val="24"/>
                <w:szCs w:val="24"/>
              </w:rPr>
            </w:pPr>
          </w:p>
          <w:p w14:paraId="0091C26F">
            <w:pPr>
              <w:spacing w:line="248" w:lineRule="auto"/>
              <w:jc w:val="center"/>
              <w:rPr>
                <w:rFonts w:hint="eastAsia" w:ascii="仿宋_GB2312" w:hAnsi="仿宋_GB2312" w:eastAsia="仿宋_GB2312" w:cs="仿宋_GB2312"/>
                <w:sz w:val="24"/>
                <w:szCs w:val="24"/>
              </w:rPr>
            </w:pPr>
          </w:p>
          <w:p w14:paraId="34202934">
            <w:pPr>
              <w:pStyle w:val="8"/>
              <w:spacing w:before="7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10%</w:t>
            </w:r>
          </w:p>
        </w:tc>
      </w:tr>
      <w:tr w14:paraId="35B32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1006" w:type="dxa"/>
            <w:noWrap w:val="0"/>
            <w:vAlign w:val="top"/>
          </w:tcPr>
          <w:p w14:paraId="1F621580">
            <w:pPr>
              <w:spacing w:line="248" w:lineRule="auto"/>
              <w:rPr>
                <w:rFonts w:hint="eastAsia" w:ascii="仿宋_GB2312" w:hAnsi="仿宋_GB2312" w:eastAsia="仿宋_GB2312" w:cs="仿宋_GB2312"/>
                <w:sz w:val="24"/>
                <w:szCs w:val="24"/>
              </w:rPr>
            </w:pPr>
          </w:p>
          <w:p w14:paraId="60CAAB28">
            <w:pPr>
              <w:spacing w:line="249" w:lineRule="auto"/>
              <w:rPr>
                <w:rFonts w:hint="eastAsia" w:ascii="仿宋_GB2312" w:hAnsi="仿宋_GB2312" w:eastAsia="仿宋_GB2312" w:cs="仿宋_GB2312"/>
                <w:sz w:val="24"/>
                <w:szCs w:val="24"/>
              </w:rPr>
            </w:pPr>
          </w:p>
          <w:p w14:paraId="2B39928B">
            <w:pPr>
              <w:pStyle w:val="8"/>
              <w:spacing w:before="78" w:line="236" w:lineRule="auto"/>
              <w:ind w:left="285" w:right="257"/>
              <w:rPr>
                <w:rFonts w:hint="eastAsia" w:ascii="仿宋_GB2312" w:hAnsi="仿宋_GB2312" w:eastAsia="仿宋_GB2312" w:cs="仿宋_GB2312"/>
                <w:sz w:val="24"/>
                <w:szCs w:val="24"/>
              </w:rPr>
            </w:pPr>
            <w:r>
              <w:rPr>
                <w:rFonts w:hint="eastAsia" w:ascii="仿宋_GB2312" w:hAnsi="仿宋_GB2312" w:eastAsia="仿宋_GB2312" w:cs="仿宋_GB2312"/>
                <w:spacing w:val="-12"/>
                <w:sz w:val="24"/>
                <w:szCs w:val="24"/>
              </w:rPr>
              <w:t>创新</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2"/>
                <w:sz w:val="24"/>
                <w:szCs w:val="24"/>
              </w:rPr>
              <w:t>创意</w:t>
            </w:r>
          </w:p>
        </w:tc>
        <w:tc>
          <w:tcPr>
            <w:tcW w:w="6840" w:type="dxa"/>
            <w:noWrap w:val="0"/>
            <w:vAlign w:val="top"/>
          </w:tcPr>
          <w:p w14:paraId="405798BF">
            <w:pPr>
              <w:pStyle w:val="8"/>
              <w:spacing w:before="119" w:line="222" w:lineRule="auto"/>
              <w:ind w:left="245"/>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1.体现原始创意、创新。</w:t>
            </w:r>
          </w:p>
          <w:p w14:paraId="1AB9A506">
            <w:pPr>
              <w:pStyle w:val="8"/>
              <w:spacing w:before="18" w:line="235" w:lineRule="auto"/>
              <w:ind w:left="14" w:right="55" w:firstLine="212"/>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2.体现面向职业和岗位的创意及创新，侧重于加工工艺创新、实</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7"/>
                <w:sz w:val="24"/>
                <w:szCs w:val="24"/>
              </w:rPr>
              <w:t>用技术创新、产品（技术）数字化改良、应</w:t>
            </w:r>
            <w:r>
              <w:rPr>
                <w:rFonts w:hint="eastAsia" w:ascii="仿宋_GB2312" w:hAnsi="仿宋_GB2312" w:eastAsia="仿宋_GB2312" w:cs="仿宋_GB2312"/>
                <w:spacing w:val="-8"/>
                <w:sz w:val="24"/>
                <w:szCs w:val="24"/>
              </w:rPr>
              <w:t>用性优化、民生类创</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5"/>
                <w:sz w:val="24"/>
                <w:szCs w:val="24"/>
              </w:rPr>
              <w:t>意等。</w:t>
            </w:r>
          </w:p>
          <w:p w14:paraId="5ADE9356">
            <w:pPr>
              <w:pStyle w:val="8"/>
              <w:spacing w:before="20" w:line="222" w:lineRule="auto"/>
              <w:ind w:left="236"/>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3.体现团队成员创新精神和创新能力。</w:t>
            </w:r>
          </w:p>
        </w:tc>
        <w:tc>
          <w:tcPr>
            <w:tcW w:w="991" w:type="dxa"/>
            <w:noWrap w:val="0"/>
            <w:vAlign w:val="top"/>
          </w:tcPr>
          <w:p w14:paraId="7154ABA9">
            <w:pPr>
              <w:spacing w:line="329" w:lineRule="auto"/>
              <w:jc w:val="center"/>
              <w:rPr>
                <w:rFonts w:hint="eastAsia" w:ascii="仿宋_GB2312" w:hAnsi="仿宋_GB2312" w:eastAsia="仿宋_GB2312" w:cs="仿宋_GB2312"/>
                <w:sz w:val="24"/>
                <w:szCs w:val="24"/>
              </w:rPr>
            </w:pPr>
          </w:p>
          <w:p w14:paraId="37196EDB">
            <w:pPr>
              <w:spacing w:line="330" w:lineRule="auto"/>
              <w:jc w:val="center"/>
              <w:rPr>
                <w:rFonts w:hint="eastAsia" w:ascii="仿宋_GB2312" w:hAnsi="仿宋_GB2312" w:eastAsia="仿宋_GB2312" w:cs="仿宋_GB2312"/>
                <w:sz w:val="24"/>
                <w:szCs w:val="24"/>
              </w:rPr>
            </w:pPr>
          </w:p>
          <w:p w14:paraId="5A91F35B">
            <w:pPr>
              <w:pStyle w:val="8"/>
              <w:spacing w:before="7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10%</w:t>
            </w:r>
          </w:p>
        </w:tc>
      </w:tr>
    </w:tbl>
    <w:p w14:paraId="1C1C72B4">
      <w:pPr>
        <w:spacing w:before="332" w:line="323" w:lineRule="auto"/>
        <w:ind w:left="26" w:right="190" w:firstLine="648"/>
        <w:jc w:val="both"/>
        <w:rPr>
          <w:rFonts w:hint="eastAsia" w:ascii="黑体" w:hAnsi="黑体" w:eastAsia="黑体" w:cs="黑体"/>
          <w:spacing w:val="8"/>
          <w:sz w:val="31"/>
          <w:szCs w:val="31"/>
          <w:lang w:eastAsia="zh-CN"/>
        </w:rPr>
        <w:sectPr>
          <w:pgSz w:w="11906" w:h="16839"/>
          <w:pgMar w:top="1431" w:right="1473" w:bottom="0" w:left="1603" w:header="0" w:footer="0" w:gutter="0"/>
          <w:cols w:space="720" w:num="1"/>
        </w:sectPr>
      </w:pPr>
    </w:p>
    <w:p w14:paraId="3945F472">
      <w:pPr>
        <w:spacing w:before="209" w:line="228" w:lineRule="auto"/>
        <w:ind w:left="634"/>
        <w:outlineLvl w:val="0"/>
        <w:rPr>
          <w:rFonts w:ascii="黑体" w:hAnsi="黑体" w:eastAsia="黑体" w:cs="黑体"/>
          <w:spacing w:val="8"/>
          <w:sz w:val="31"/>
          <w:szCs w:val="31"/>
          <w:lang w:eastAsia="zh-CN"/>
        </w:rPr>
      </w:pPr>
      <w:r>
        <w:rPr>
          <w:rFonts w:ascii="黑体" w:hAnsi="黑体" w:eastAsia="黑体" w:cs="黑体"/>
          <w:spacing w:val="8"/>
          <w:sz w:val="31"/>
          <w:szCs w:val="31"/>
          <w:lang w:eastAsia="zh-CN"/>
        </w:rPr>
        <w:t>九、奖项设置</w:t>
      </w:r>
    </w:p>
    <w:p w14:paraId="465EECDD">
      <w:pPr>
        <w:spacing w:before="177" w:line="326" w:lineRule="auto"/>
        <w:ind w:right="111" w:firstLine="642"/>
        <w:rPr>
          <w:rFonts w:ascii="仿宋" w:hAnsi="仿宋" w:eastAsia="仿宋" w:cs="仿宋"/>
          <w:sz w:val="31"/>
          <w:szCs w:val="31"/>
          <w:lang w:eastAsia="zh-CN"/>
        </w:rPr>
      </w:pPr>
      <w:r>
        <w:rPr>
          <w:rFonts w:ascii="仿宋" w:hAnsi="仿宋" w:eastAsia="仿宋" w:cs="仿宋"/>
          <w:spacing w:val="4"/>
          <w:sz w:val="31"/>
          <w:szCs w:val="31"/>
          <w:lang w:eastAsia="zh-CN"/>
        </w:rPr>
        <w:t>本赛项为团体赛，奖项设</w:t>
      </w:r>
      <w:r>
        <w:rPr>
          <w:rFonts w:hint="eastAsia" w:ascii="仿宋" w:hAnsi="仿宋" w:eastAsia="仿宋" w:cs="仿宋"/>
          <w:spacing w:val="4"/>
          <w:sz w:val="31"/>
          <w:szCs w:val="31"/>
          <w:lang w:eastAsia="zh-CN"/>
        </w:rPr>
        <w:t>一、二、三等奖</w:t>
      </w:r>
      <w:r>
        <w:rPr>
          <w:rFonts w:ascii="仿宋" w:hAnsi="仿宋" w:eastAsia="仿宋" w:cs="仿宋"/>
          <w:spacing w:val="4"/>
          <w:sz w:val="31"/>
          <w:szCs w:val="31"/>
          <w:lang w:eastAsia="zh-CN"/>
        </w:rPr>
        <w:t>，获奖比例分别</w:t>
      </w:r>
      <w:r>
        <w:rPr>
          <w:rFonts w:ascii="仿宋" w:hAnsi="仿宋" w:eastAsia="仿宋" w:cs="仿宋"/>
          <w:spacing w:val="5"/>
          <w:sz w:val="31"/>
          <w:szCs w:val="31"/>
          <w:lang w:eastAsia="zh-CN"/>
        </w:rPr>
        <w:t>为平行组实际参赛队伍数量的</w:t>
      </w:r>
      <w:r>
        <w:rPr>
          <w:rFonts w:ascii="仿宋" w:hAnsi="仿宋" w:eastAsia="仿宋" w:cs="仿宋"/>
          <w:spacing w:val="-19"/>
          <w:sz w:val="31"/>
          <w:szCs w:val="31"/>
          <w:lang w:eastAsia="zh-CN"/>
        </w:rPr>
        <w:t xml:space="preserve"> </w:t>
      </w:r>
      <w:r>
        <w:rPr>
          <w:rFonts w:ascii="Times New Roman" w:hAnsi="Times New Roman" w:eastAsia="Times New Roman" w:cs="Times New Roman"/>
          <w:spacing w:val="5"/>
          <w:sz w:val="31"/>
          <w:szCs w:val="31"/>
          <w:lang w:eastAsia="zh-CN"/>
        </w:rPr>
        <w:t>10</w:t>
      </w:r>
      <w:r>
        <w:rPr>
          <w:rFonts w:ascii="仿宋" w:hAnsi="仿宋" w:eastAsia="仿宋" w:cs="仿宋"/>
          <w:spacing w:val="5"/>
          <w:sz w:val="31"/>
          <w:szCs w:val="31"/>
          <w:lang w:eastAsia="zh-CN"/>
        </w:rPr>
        <w:t>%、</w:t>
      </w:r>
      <w:r>
        <w:rPr>
          <w:rFonts w:hint="eastAsia" w:ascii="Times New Roman" w:hAnsi="Times New Roman" w:eastAsia="宋体" w:cs="Times New Roman"/>
          <w:spacing w:val="5"/>
          <w:sz w:val="31"/>
          <w:szCs w:val="31"/>
          <w:lang w:eastAsia="zh-CN"/>
        </w:rPr>
        <w:t>20</w:t>
      </w:r>
      <w:r>
        <w:rPr>
          <w:rFonts w:ascii="仿宋" w:hAnsi="仿宋" w:eastAsia="仿宋" w:cs="仿宋"/>
          <w:spacing w:val="5"/>
          <w:sz w:val="31"/>
          <w:szCs w:val="31"/>
          <w:lang w:eastAsia="zh-CN"/>
        </w:rPr>
        <w:t>%、</w:t>
      </w:r>
      <w:r>
        <w:rPr>
          <w:rFonts w:hint="eastAsia" w:ascii="Times New Roman" w:hAnsi="Times New Roman" w:eastAsia="宋体" w:cs="Times New Roman"/>
          <w:spacing w:val="5"/>
          <w:sz w:val="31"/>
          <w:szCs w:val="31"/>
          <w:lang w:eastAsia="zh-CN"/>
        </w:rPr>
        <w:t>30</w:t>
      </w:r>
      <w:r>
        <w:rPr>
          <w:rFonts w:ascii="仿宋" w:hAnsi="仿宋" w:eastAsia="仿宋" w:cs="仿宋"/>
          <w:spacing w:val="5"/>
          <w:sz w:val="31"/>
          <w:szCs w:val="31"/>
          <w:lang w:eastAsia="zh-CN"/>
        </w:rPr>
        <w:t>%（分别四舍五入取</w:t>
      </w:r>
      <w:r>
        <w:rPr>
          <w:rFonts w:ascii="仿宋" w:hAnsi="仿宋" w:eastAsia="仿宋" w:cs="仿宋"/>
          <w:spacing w:val="9"/>
          <w:sz w:val="31"/>
          <w:szCs w:val="31"/>
          <w:lang w:eastAsia="zh-CN"/>
        </w:rPr>
        <w:t>整数）。本赛项成绩作为选拔</w:t>
      </w:r>
      <w:r>
        <w:rPr>
          <w:rFonts w:ascii="仿宋" w:hAnsi="仿宋" w:eastAsia="仿宋" w:cs="仿宋"/>
          <w:spacing w:val="-66"/>
          <w:sz w:val="31"/>
          <w:szCs w:val="31"/>
          <w:lang w:eastAsia="zh-CN"/>
        </w:rPr>
        <w:t xml:space="preserve"> </w:t>
      </w:r>
      <w:r>
        <w:rPr>
          <w:rFonts w:ascii="Times New Roman" w:hAnsi="Times New Roman" w:eastAsia="Times New Roman" w:cs="Times New Roman"/>
          <w:spacing w:val="9"/>
          <w:sz w:val="31"/>
          <w:szCs w:val="31"/>
          <w:lang w:eastAsia="zh-CN"/>
        </w:rPr>
        <w:t>2025</w:t>
      </w:r>
      <w:r>
        <w:rPr>
          <w:rFonts w:ascii="Times New Roman" w:hAnsi="Times New Roman" w:eastAsia="Times New Roman" w:cs="Times New Roman"/>
          <w:spacing w:val="33"/>
          <w:sz w:val="31"/>
          <w:szCs w:val="31"/>
          <w:lang w:eastAsia="zh-CN"/>
        </w:rPr>
        <w:t xml:space="preserve"> </w:t>
      </w:r>
      <w:r>
        <w:rPr>
          <w:rFonts w:ascii="仿宋" w:hAnsi="仿宋" w:eastAsia="仿宋" w:cs="仿宋"/>
          <w:spacing w:val="9"/>
          <w:sz w:val="31"/>
          <w:szCs w:val="31"/>
          <w:lang w:eastAsia="zh-CN"/>
        </w:rPr>
        <w:t>年</w:t>
      </w:r>
      <w:r>
        <w:rPr>
          <w:rFonts w:hint="eastAsia" w:ascii="仿宋" w:hAnsi="仿宋" w:eastAsia="仿宋" w:cs="仿宋"/>
          <w:spacing w:val="9"/>
          <w:sz w:val="31"/>
          <w:szCs w:val="31"/>
          <w:lang w:eastAsia="zh-CN"/>
        </w:rPr>
        <w:t>陕西省</w:t>
      </w:r>
      <w:r>
        <w:rPr>
          <w:rFonts w:ascii="仿宋" w:hAnsi="仿宋" w:eastAsia="仿宋" w:cs="仿宋"/>
          <w:spacing w:val="8"/>
          <w:sz w:val="31"/>
          <w:szCs w:val="31"/>
          <w:lang w:eastAsia="zh-CN"/>
        </w:rPr>
        <w:t>职业院校技能大赛</w:t>
      </w:r>
      <w:r>
        <w:rPr>
          <w:rFonts w:hint="eastAsia" w:ascii="仿宋" w:hAnsi="仿宋" w:eastAsia="仿宋" w:cs="仿宋"/>
          <w:spacing w:val="8"/>
          <w:sz w:val="31"/>
          <w:szCs w:val="31"/>
          <w:lang w:eastAsia="zh-CN"/>
        </w:rPr>
        <w:t>渭南市</w:t>
      </w:r>
      <w:r>
        <w:rPr>
          <w:rFonts w:ascii="仿宋" w:hAnsi="仿宋" w:eastAsia="仿宋" w:cs="仿宋"/>
          <w:spacing w:val="6"/>
          <w:sz w:val="31"/>
          <w:szCs w:val="31"/>
          <w:lang w:eastAsia="zh-CN"/>
        </w:rPr>
        <w:t>代表队的重要依据。</w:t>
      </w:r>
    </w:p>
    <w:p w14:paraId="2AB3B7B3">
      <w:pPr>
        <w:spacing w:before="206" w:line="227" w:lineRule="auto"/>
        <w:ind w:left="635"/>
        <w:outlineLvl w:val="0"/>
        <w:rPr>
          <w:rFonts w:ascii="黑体" w:hAnsi="黑体" w:eastAsia="黑体" w:cs="黑体"/>
          <w:sz w:val="31"/>
          <w:szCs w:val="31"/>
          <w:lang w:eastAsia="zh-CN"/>
        </w:rPr>
      </w:pPr>
      <w:r>
        <w:rPr>
          <w:rFonts w:ascii="黑体" w:hAnsi="黑体" w:eastAsia="黑体" w:cs="黑体"/>
          <w:spacing w:val="7"/>
          <w:sz w:val="31"/>
          <w:szCs w:val="31"/>
          <w:lang w:eastAsia="zh-CN"/>
        </w:rPr>
        <w:t>十、赛项安全管理</w:t>
      </w:r>
    </w:p>
    <w:p w14:paraId="400440AB">
      <w:pPr>
        <w:spacing w:before="338" w:line="299" w:lineRule="auto"/>
        <w:ind w:right="111" w:firstLine="645"/>
        <w:rPr>
          <w:rFonts w:ascii="仿宋" w:hAnsi="仿宋" w:eastAsia="仿宋" w:cs="仿宋"/>
          <w:sz w:val="31"/>
          <w:szCs w:val="31"/>
          <w:lang w:eastAsia="zh-CN"/>
        </w:rPr>
      </w:pPr>
      <w:r>
        <w:rPr>
          <w:rFonts w:ascii="仿宋" w:hAnsi="仿宋" w:eastAsia="仿宋" w:cs="仿宋"/>
          <w:spacing w:val="4"/>
          <w:sz w:val="31"/>
          <w:szCs w:val="31"/>
          <w:lang w:eastAsia="zh-CN"/>
        </w:rPr>
        <w:t>（一）承办学校须成立专门的安全管理机构，落实赛事筹备</w:t>
      </w:r>
      <w:r>
        <w:rPr>
          <w:rFonts w:ascii="仿宋" w:hAnsi="仿宋" w:eastAsia="仿宋" w:cs="仿宋"/>
          <w:spacing w:val="5"/>
          <w:sz w:val="31"/>
          <w:szCs w:val="31"/>
          <w:lang w:eastAsia="zh-CN"/>
        </w:rPr>
        <w:t>和比赛期间的各项安全工作，承办学校主管领导为第一安全责任</w:t>
      </w:r>
      <w:r>
        <w:rPr>
          <w:rFonts w:ascii="仿宋" w:hAnsi="仿宋" w:eastAsia="仿宋" w:cs="仿宋"/>
          <w:spacing w:val="-7"/>
          <w:sz w:val="31"/>
          <w:szCs w:val="31"/>
          <w:lang w:eastAsia="zh-CN"/>
        </w:rPr>
        <w:t>人。</w:t>
      </w:r>
    </w:p>
    <w:p w14:paraId="55ED792A">
      <w:pPr>
        <w:spacing w:before="172" w:line="307" w:lineRule="auto"/>
        <w:ind w:firstLine="645"/>
        <w:rPr>
          <w:rFonts w:ascii="仿宋" w:hAnsi="仿宋" w:eastAsia="仿宋" w:cs="仿宋"/>
          <w:sz w:val="31"/>
          <w:szCs w:val="31"/>
          <w:lang w:eastAsia="zh-CN"/>
        </w:rPr>
      </w:pPr>
      <w:r>
        <w:rPr>
          <w:rFonts w:ascii="仿宋" w:hAnsi="仿宋" w:eastAsia="仿宋" w:cs="仿宋"/>
          <w:spacing w:val="-3"/>
          <w:sz w:val="31"/>
          <w:szCs w:val="31"/>
          <w:lang w:eastAsia="zh-CN"/>
        </w:rPr>
        <w:t>（二）比赛期间，参赛队的食宿原则上由承办学校</w:t>
      </w:r>
      <w:r>
        <w:rPr>
          <w:rFonts w:hint="eastAsia" w:ascii="仿宋" w:hAnsi="仿宋" w:eastAsia="仿宋" w:cs="仿宋"/>
          <w:spacing w:val="-3"/>
          <w:sz w:val="31"/>
          <w:szCs w:val="31"/>
          <w:lang w:eastAsia="zh-CN"/>
        </w:rPr>
        <w:t>推荐，参赛院校承担各自费用</w:t>
      </w:r>
      <w:r>
        <w:rPr>
          <w:rFonts w:ascii="仿宋" w:hAnsi="仿宋" w:eastAsia="仿宋" w:cs="仿宋"/>
          <w:spacing w:val="-3"/>
          <w:sz w:val="31"/>
          <w:szCs w:val="31"/>
          <w:lang w:eastAsia="zh-CN"/>
        </w:rPr>
        <w:t>。</w:t>
      </w:r>
      <w:r>
        <w:rPr>
          <w:rFonts w:ascii="仿宋" w:hAnsi="仿宋" w:eastAsia="仿宋" w:cs="仿宋"/>
          <w:spacing w:val="5"/>
          <w:sz w:val="31"/>
          <w:szCs w:val="31"/>
          <w:lang w:eastAsia="zh-CN"/>
        </w:rPr>
        <w:t>承办学校须尊重参赛人员的文化习俗，安排好参赛选手和指导教师等人员的饮食起居。比赛期间安排的住宿场所应具有旅游业经</w:t>
      </w:r>
      <w:r>
        <w:rPr>
          <w:rFonts w:ascii="仿宋" w:hAnsi="仿宋" w:eastAsia="仿宋" w:cs="仿宋"/>
          <w:spacing w:val="4"/>
          <w:sz w:val="31"/>
          <w:szCs w:val="31"/>
          <w:lang w:eastAsia="zh-CN"/>
        </w:rPr>
        <w:t>营许可资质。</w:t>
      </w:r>
    </w:p>
    <w:p w14:paraId="569F0C45">
      <w:pPr>
        <w:spacing w:before="172" w:line="313" w:lineRule="auto"/>
        <w:ind w:right="113" w:firstLine="645"/>
        <w:rPr>
          <w:rFonts w:ascii="仿宋" w:hAnsi="仿宋" w:eastAsia="仿宋" w:cs="仿宋"/>
          <w:sz w:val="31"/>
          <w:szCs w:val="31"/>
          <w:lang w:eastAsia="zh-CN"/>
        </w:rPr>
      </w:pPr>
      <w:r>
        <w:rPr>
          <w:rFonts w:ascii="仿宋" w:hAnsi="仿宋" w:eastAsia="仿宋" w:cs="仿宋"/>
          <w:spacing w:val="4"/>
          <w:sz w:val="31"/>
          <w:szCs w:val="31"/>
          <w:lang w:eastAsia="zh-CN"/>
        </w:rPr>
        <w:t>（三）参赛选手、裁判、工作人员严禁携带通讯、摄录设备</w:t>
      </w:r>
      <w:r>
        <w:rPr>
          <w:rFonts w:ascii="仿宋" w:hAnsi="仿宋" w:eastAsia="仿宋" w:cs="仿宋"/>
          <w:spacing w:val="5"/>
          <w:sz w:val="31"/>
          <w:szCs w:val="31"/>
          <w:lang w:eastAsia="zh-CN"/>
        </w:rPr>
        <w:t>和未经许可的记录用具进入比赛区域。如确有需要，由承办学校统一配置，统一管理。承办学校可根据需要配置安检设备，对进入赛场重要区域的人员进行安检，可在赛场相关区域安放无线屏</w:t>
      </w:r>
      <w:r>
        <w:rPr>
          <w:rFonts w:ascii="仿宋" w:hAnsi="仿宋" w:eastAsia="仿宋" w:cs="仿宋"/>
          <w:spacing w:val="2"/>
          <w:sz w:val="31"/>
          <w:szCs w:val="31"/>
          <w:lang w:eastAsia="zh-CN"/>
        </w:rPr>
        <w:t>蔽设备。</w:t>
      </w:r>
    </w:p>
    <w:p w14:paraId="48C1D6B7">
      <w:pPr>
        <w:spacing w:before="179" w:line="307" w:lineRule="auto"/>
        <w:ind w:left="3" w:right="111" w:firstLine="641"/>
        <w:rPr>
          <w:rFonts w:ascii="仿宋" w:hAnsi="仿宋" w:eastAsia="仿宋" w:cs="仿宋"/>
          <w:sz w:val="31"/>
          <w:szCs w:val="31"/>
          <w:lang w:eastAsia="zh-CN"/>
        </w:rPr>
      </w:pPr>
      <w:r>
        <w:rPr>
          <w:rFonts w:ascii="仿宋" w:hAnsi="仿宋" w:eastAsia="仿宋" w:cs="仿宋"/>
          <w:spacing w:val="4"/>
          <w:sz w:val="31"/>
          <w:szCs w:val="31"/>
          <w:lang w:eastAsia="zh-CN"/>
        </w:rPr>
        <w:t>（四）比赛期间，承办学校赛前须按照赛区执委会要求排除</w:t>
      </w:r>
      <w:r>
        <w:rPr>
          <w:rFonts w:ascii="仿宋" w:hAnsi="仿宋" w:eastAsia="仿宋" w:cs="仿宋"/>
          <w:spacing w:val="5"/>
          <w:sz w:val="31"/>
          <w:szCs w:val="31"/>
          <w:lang w:eastAsia="zh-CN"/>
        </w:rPr>
        <w:t>安全隐患，须落实定点医院，并在赛场设置医疗医护工作</w:t>
      </w:r>
      <w:r>
        <w:rPr>
          <w:rFonts w:ascii="仿宋" w:hAnsi="仿宋" w:eastAsia="仿宋" w:cs="仿宋"/>
          <w:spacing w:val="4"/>
          <w:sz w:val="31"/>
          <w:szCs w:val="31"/>
          <w:lang w:eastAsia="zh-CN"/>
        </w:rPr>
        <w:t>站。除</w:t>
      </w:r>
      <w:r>
        <w:rPr>
          <w:rFonts w:ascii="仿宋" w:hAnsi="仿宋" w:eastAsia="仿宋" w:cs="仿宋"/>
          <w:spacing w:val="5"/>
          <w:sz w:val="31"/>
          <w:szCs w:val="31"/>
          <w:lang w:eastAsia="zh-CN"/>
        </w:rPr>
        <w:t>必要的安全隔离措施外，应严格遵守国家相关法律法规，保护个</w:t>
      </w:r>
      <w:r>
        <w:rPr>
          <w:rFonts w:ascii="仿宋" w:hAnsi="仿宋" w:eastAsia="仿宋" w:cs="仿宋"/>
          <w:spacing w:val="-2"/>
          <w:sz w:val="31"/>
          <w:szCs w:val="31"/>
          <w:lang w:eastAsia="zh-CN"/>
        </w:rPr>
        <w:t>人隐私和人身自</w:t>
      </w:r>
      <w:r>
        <w:rPr>
          <w:rFonts w:ascii="仿宋" w:hAnsi="仿宋" w:eastAsia="仿宋" w:cs="仿宋"/>
          <w:spacing w:val="-85"/>
          <w:sz w:val="31"/>
          <w:szCs w:val="31"/>
          <w:lang w:eastAsia="zh-CN"/>
        </w:rPr>
        <w:t xml:space="preserve"> </w:t>
      </w:r>
      <w:r>
        <w:rPr>
          <w:rFonts w:ascii="仿宋" w:hAnsi="仿宋" w:eastAsia="仿宋" w:cs="仿宋"/>
          <w:spacing w:val="-2"/>
          <w:sz w:val="31"/>
          <w:szCs w:val="31"/>
          <w:lang w:eastAsia="zh-CN"/>
        </w:rPr>
        <w:t>由。</w:t>
      </w:r>
    </w:p>
    <w:p w14:paraId="0BCA9303">
      <w:pPr>
        <w:spacing w:line="307" w:lineRule="auto"/>
        <w:rPr>
          <w:rFonts w:ascii="仿宋" w:hAnsi="仿宋" w:eastAsia="仿宋" w:cs="仿宋"/>
          <w:sz w:val="31"/>
          <w:szCs w:val="31"/>
          <w:lang w:eastAsia="zh-CN"/>
        </w:rPr>
        <w:sectPr>
          <w:pgSz w:w="11906" w:h="16839"/>
          <w:pgMar w:top="1431" w:right="1361" w:bottom="0" w:left="1607" w:header="0" w:footer="0" w:gutter="0"/>
          <w:cols w:space="720" w:num="1"/>
        </w:sectPr>
      </w:pPr>
    </w:p>
    <w:p w14:paraId="53B9301A">
      <w:pPr>
        <w:pStyle w:val="2"/>
        <w:spacing w:line="244" w:lineRule="auto"/>
        <w:rPr>
          <w:lang w:eastAsia="zh-CN"/>
        </w:rPr>
      </w:pPr>
    </w:p>
    <w:p w14:paraId="024133EB">
      <w:pPr>
        <w:pStyle w:val="2"/>
        <w:spacing w:line="245" w:lineRule="auto"/>
        <w:rPr>
          <w:lang w:eastAsia="zh-CN"/>
        </w:rPr>
      </w:pPr>
    </w:p>
    <w:p w14:paraId="77516A34">
      <w:pPr>
        <w:pStyle w:val="2"/>
        <w:spacing w:line="245" w:lineRule="auto"/>
        <w:rPr>
          <w:lang w:eastAsia="zh-CN"/>
        </w:rPr>
      </w:pPr>
    </w:p>
    <w:p w14:paraId="77D53E83">
      <w:pPr>
        <w:spacing w:before="101" w:line="322" w:lineRule="auto"/>
        <w:ind w:right="45" w:firstLine="657"/>
        <w:jc w:val="both"/>
        <w:rPr>
          <w:rFonts w:ascii="仿宋" w:hAnsi="仿宋" w:eastAsia="仿宋" w:cs="仿宋"/>
          <w:sz w:val="31"/>
          <w:szCs w:val="31"/>
          <w:lang w:eastAsia="zh-CN"/>
        </w:rPr>
      </w:pPr>
      <w:r>
        <w:rPr>
          <w:rFonts w:ascii="仿宋" w:hAnsi="仿宋" w:eastAsia="仿宋" w:cs="仿宋"/>
          <w:spacing w:val="7"/>
          <w:sz w:val="31"/>
          <w:szCs w:val="31"/>
          <w:lang w:eastAsia="zh-CN"/>
        </w:rPr>
        <w:t>（五）承办学校须建立信息联络通知渠道，加</w:t>
      </w:r>
      <w:r>
        <w:rPr>
          <w:rFonts w:ascii="仿宋" w:hAnsi="仿宋" w:eastAsia="仿宋" w:cs="仿宋"/>
          <w:spacing w:val="6"/>
          <w:sz w:val="31"/>
          <w:szCs w:val="31"/>
          <w:lang w:eastAsia="zh-CN"/>
        </w:rPr>
        <w:t>强对微信群、</w:t>
      </w:r>
      <w:r>
        <w:rPr>
          <w:rFonts w:ascii="仿宋" w:hAnsi="仿宋" w:eastAsia="仿宋" w:cs="仿宋"/>
          <w:sz w:val="31"/>
          <w:szCs w:val="31"/>
          <w:lang w:eastAsia="zh-CN"/>
        </w:rPr>
        <w:t>QQ</w:t>
      </w:r>
      <w:r>
        <w:rPr>
          <w:rFonts w:ascii="仿宋" w:hAnsi="仿宋" w:eastAsia="仿宋" w:cs="仿宋"/>
          <w:spacing w:val="14"/>
          <w:sz w:val="31"/>
          <w:szCs w:val="31"/>
          <w:lang w:eastAsia="zh-CN"/>
        </w:rPr>
        <w:t>群、钉钉群等网络平台的使用管理，做好赛前</w:t>
      </w:r>
      <w:r>
        <w:rPr>
          <w:rFonts w:ascii="仿宋" w:hAnsi="仿宋" w:eastAsia="仿宋" w:cs="仿宋"/>
          <w:spacing w:val="13"/>
          <w:sz w:val="31"/>
          <w:szCs w:val="31"/>
          <w:lang w:eastAsia="zh-CN"/>
        </w:rPr>
        <w:t>、赛中、赛后</w:t>
      </w:r>
      <w:r>
        <w:rPr>
          <w:rFonts w:ascii="仿宋" w:hAnsi="仿宋" w:eastAsia="仿宋" w:cs="仿宋"/>
          <w:spacing w:val="9"/>
          <w:sz w:val="31"/>
          <w:szCs w:val="31"/>
          <w:lang w:eastAsia="zh-CN"/>
        </w:rPr>
        <w:t>的舆情监控，确保赛事活动平稳、安全、有序开展。</w:t>
      </w:r>
    </w:p>
    <w:p w14:paraId="0F349729">
      <w:pPr>
        <w:spacing w:before="215" w:line="226" w:lineRule="auto"/>
        <w:ind w:left="648"/>
        <w:outlineLvl w:val="0"/>
        <w:rPr>
          <w:rFonts w:ascii="黑体" w:hAnsi="黑体" w:eastAsia="黑体" w:cs="黑体"/>
          <w:sz w:val="31"/>
          <w:szCs w:val="31"/>
          <w:lang w:eastAsia="zh-CN"/>
        </w:rPr>
      </w:pPr>
      <w:r>
        <w:rPr>
          <w:rFonts w:ascii="黑体" w:hAnsi="黑体" w:eastAsia="黑体" w:cs="黑体"/>
          <w:spacing w:val="8"/>
          <w:sz w:val="31"/>
          <w:szCs w:val="31"/>
          <w:lang w:eastAsia="zh-CN"/>
        </w:rPr>
        <w:t>十一、申诉与仲裁的程序</w:t>
      </w:r>
    </w:p>
    <w:p w14:paraId="61C63503">
      <w:pPr>
        <w:spacing w:before="337" w:line="279" w:lineRule="auto"/>
        <w:ind w:right="105"/>
        <w:rPr>
          <w:rFonts w:ascii="仿宋" w:hAnsi="仿宋" w:eastAsia="仿宋" w:cs="仿宋"/>
          <w:sz w:val="31"/>
          <w:szCs w:val="31"/>
          <w:lang w:eastAsia="zh-CN"/>
        </w:rPr>
      </w:pPr>
      <w:r>
        <w:rPr>
          <w:rFonts w:ascii="仿宋" w:hAnsi="仿宋" w:eastAsia="仿宋" w:cs="仿宋"/>
          <w:spacing w:val="4"/>
          <w:sz w:val="31"/>
          <w:szCs w:val="31"/>
          <w:lang w:eastAsia="zh-CN"/>
        </w:rPr>
        <w:t>（一）赛前承办校赛事组委会应向参赛队伍和工作人员公布</w:t>
      </w:r>
      <w:r>
        <w:rPr>
          <w:rFonts w:ascii="仿宋" w:hAnsi="仿宋" w:eastAsia="仿宋" w:cs="仿宋"/>
          <w:spacing w:val="6"/>
          <w:sz w:val="31"/>
          <w:szCs w:val="31"/>
          <w:lang w:eastAsia="zh-CN"/>
        </w:rPr>
        <w:t>申诉渠道、联系人、联系方式、工作地点等信息。</w:t>
      </w:r>
    </w:p>
    <w:p w14:paraId="51B9B006">
      <w:pPr>
        <w:spacing w:before="182" w:line="298" w:lineRule="auto"/>
        <w:rPr>
          <w:rFonts w:ascii="仿宋" w:hAnsi="仿宋" w:eastAsia="仿宋" w:cs="仿宋"/>
          <w:sz w:val="31"/>
          <w:szCs w:val="31"/>
          <w:lang w:eastAsia="zh-CN"/>
        </w:rPr>
      </w:pPr>
      <w:r>
        <w:rPr>
          <w:rFonts w:ascii="仿宋" w:hAnsi="仿宋" w:eastAsia="仿宋" w:cs="仿宋"/>
          <w:spacing w:val="-3"/>
          <w:sz w:val="31"/>
          <w:szCs w:val="31"/>
          <w:lang w:eastAsia="zh-CN"/>
        </w:rPr>
        <w:t>（二）参赛队对设施配备、比赛执裁、赛场</w:t>
      </w:r>
      <w:r>
        <w:rPr>
          <w:rFonts w:ascii="仿宋" w:hAnsi="仿宋" w:eastAsia="仿宋" w:cs="仿宋"/>
          <w:spacing w:val="-4"/>
          <w:sz w:val="31"/>
          <w:szCs w:val="31"/>
          <w:lang w:eastAsia="zh-CN"/>
        </w:rPr>
        <w:t>管理、成绩评定，</w:t>
      </w:r>
      <w:r>
        <w:rPr>
          <w:rFonts w:ascii="仿宋" w:hAnsi="仿宋" w:eastAsia="仿宋" w:cs="仿宋"/>
          <w:spacing w:val="-2"/>
          <w:sz w:val="31"/>
          <w:szCs w:val="31"/>
          <w:lang w:eastAsia="zh-CN"/>
        </w:rPr>
        <w:t>以及工作人员不规范行为等，可向赛项裁判长</w:t>
      </w:r>
      <w:r>
        <w:rPr>
          <w:rFonts w:ascii="仿宋" w:hAnsi="仿宋" w:eastAsia="仿宋" w:cs="仿宋"/>
          <w:spacing w:val="-3"/>
          <w:sz w:val="31"/>
          <w:szCs w:val="31"/>
          <w:lang w:eastAsia="zh-CN"/>
        </w:rPr>
        <w:t>、大赛裁判委员会、</w:t>
      </w:r>
      <w:r>
        <w:rPr>
          <w:rFonts w:ascii="仿宋" w:hAnsi="仿宋" w:eastAsia="仿宋" w:cs="仿宋"/>
          <w:spacing w:val="6"/>
          <w:sz w:val="31"/>
          <w:szCs w:val="31"/>
          <w:lang w:eastAsia="zh-CN"/>
        </w:rPr>
        <w:t>大赛仲裁委员会提出申诉。</w:t>
      </w:r>
    </w:p>
    <w:p w14:paraId="7857203A">
      <w:pPr>
        <w:spacing w:before="178" w:line="228" w:lineRule="auto"/>
        <w:rPr>
          <w:rFonts w:ascii="仿宋" w:hAnsi="仿宋" w:eastAsia="仿宋" w:cs="仿宋"/>
          <w:sz w:val="31"/>
          <w:szCs w:val="31"/>
          <w:lang w:eastAsia="zh-CN"/>
        </w:rPr>
      </w:pPr>
      <w:r>
        <w:rPr>
          <w:rFonts w:ascii="仿宋" w:hAnsi="仿宋" w:eastAsia="仿宋" w:cs="仿宋"/>
          <w:spacing w:val="1"/>
          <w:sz w:val="31"/>
          <w:szCs w:val="31"/>
          <w:lang w:eastAsia="zh-CN"/>
        </w:rPr>
        <w:t>（三）申诉主体为参赛队领队。</w:t>
      </w:r>
    </w:p>
    <w:p w14:paraId="45871A97">
      <w:pPr>
        <w:spacing w:before="175" w:line="310" w:lineRule="auto"/>
        <w:ind w:right="102"/>
        <w:rPr>
          <w:rFonts w:ascii="仿宋" w:hAnsi="仿宋" w:eastAsia="仿宋" w:cs="仿宋"/>
          <w:sz w:val="31"/>
          <w:szCs w:val="31"/>
          <w:lang w:eastAsia="zh-CN"/>
        </w:rPr>
      </w:pPr>
      <w:r>
        <w:rPr>
          <w:rFonts w:ascii="仿宋" w:hAnsi="仿宋" w:eastAsia="仿宋" w:cs="仿宋"/>
          <w:spacing w:val="4"/>
          <w:sz w:val="31"/>
          <w:szCs w:val="31"/>
          <w:lang w:eastAsia="zh-CN"/>
        </w:rPr>
        <w:t>（四）申诉启动时，参赛队以该赛项领队亲笔签字同意的书</w:t>
      </w:r>
      <w:r>
        <w:rPr>
          <w:rFonts w:ascii="仿宋" w:hAnsi="仿宋" w:eastAsia="仿宋" w:cs="仿宋"/>
          <w:spacing w:val="5"/>
          <w:sz w:val="31"/>
          <w:szCs w:val="31"/>
          <w:lang w:eastAsia="zh-CN"/>
        </w:rPr>
        <w:t>面报告递交材料。报告应对申诉事件的现象、发生时间、涉及人员、申诉依据等进行充分、实事求是的叙述。非书面申诉不予受</w:t>
      </w:r>
      <w:r>
        <w:rPr>
          <w:rFonts w:ascii="仿宋" w:hAnsi="仿宋" w:eastAsia="仿宋" w:cs="仿宋"/>
          <w:spacing w:val="-8"/>
          <w:sz w:val="31"/>
          <w:szCs w:val="31"/>
          <w:lang w:eastAsia="zh-CN"/>
        </w:rPr>
        <w:t>理。</w:t>
      </w:r>
    </w:p>
    <w:p w14:paraId="7AB93A60">
      <w:pPr>
        <w:spacing w:before="159" w:line="281" w:lineRule="auto"/>
        <w:ind w:right="105"/>
        <w:rPr>
          <w:rFonts w:ascii="仿宋" w:hAnsi="仿宋" w:eastAsia="仿宋" w:cs="仿宋"/>
          <w:sz w:val="31"/>
          <w:szCs w:val="31"/>
          <w:lang w:eastAsia="zh-CN"/>
        </w:rPr>
      </w:pPr>
      <w:r>
        <w:rPr>
          <w:rFonts w:ascii="仿宋" w:hAnsi="仿宋" w:eastAsia="仿宋" w:cs="仿宋"/>
          <w:spacing w:val="4"/>
          <w:sz w:val="31"/>
          <w:szCs w:val="31"/>
          <w:lang w:eastAsia="zh-CN"/>
        </w:rPr>
        <w:t>（五）提出申诉的时间应在比赛结束后（选手赛场比赛内容</w:t>
      </w:r>
      <w:r>
        <w:rPr>
          <w:rFonts w:ascii="仿宋" w:hAnsi="仿宋" w:eastAsia="仿宋" w:cs="仿宋"/>
          <w:spacing w:val="6"/>
          <w:sz w:val="31"/>
          <w:szCs w:val="31"/>
          <w:lang w:eastAsia="zh-CN"/>
        </w:rPr>
        <w:t>全部完成）</w:t>
      </w:r>
      <w:r>
        <w:rPr>
          <w:rFonts w:ascii="Times New Roman" w:hAnsi="Times New Roman" w:eastAsia="Times New Roman" w:cs="Times New Roman"/>
          <w:spacing w:val="6"/>
          <w:sz w:val="31"/>
          <w:szCs w:val="31"/>
          <w:lang w:eastAsia="zh-CN"/>
        </w:rPr>
        <w:t>2</w:t>
      </w:r>
      <w:r>
        <w:rPr>
          <w:rFonts w:ascii="仿宋" w:hAnsi="仿宋" w:eastAsia="仿宋" w:cs="仿宋"/>
          <w:spacing w:val="6"/>
          <w:sz w:val="31"/>
          <w:szCs w:val="31"/>
          <w:lang w:eastAsia="zh-CN"/>
        </w:rPr>
        <w:t>小时内，超过时效不予受理。</w:t>
      </w:r>
    </w:p>
    <w:p w14:paraId="55E8E7D6">
      <w:pPr>
        <w:spacing w:before="175" w:line="316" w:lineRule="auto"/>
        <w:ind w:right="60"/>
        <w:rPr>
          <w:rFonts w:ascii="仿宋" w:hAnsi="仿宋" w:eastAsia="仿宋" w:cs="仿宋"/>
          <w:sz w:val="31"/>
          <w:szCs w:val="31"/>
          <w:lang w:eastAsia="zh-CN"/>
        </w:rPr>
      </w:pPr>
      <w:r>
        <w:rPr>
          <w:rFonts w:ascii="仿宋" w:hAnsi="仿宋" w:eastAsia="仿宋" w:cs="仿宋"/>
          <w:spacing w:val="8"/>
          <w:sz w:val="31"/>
          <w:szCs w:val="31"/>
          <w:lang w:eastAsia="zh-CN"/>
        </w:rPr>
        <w:t>（六）赛项裁判长在接到申诉报告后的</w:t>
      </w:r>
      <w:r>
        <w:rPr>
          <w:rFonts w:ascii="Times New Roman" w:hAnsi="Times New Roman" w:eastAsia="Times New Roman" w:cs="Times New Roman"/>
          <w:spacing w:val="8"/>
          <w:sz w:val="31"/>
          <w:szCs w:val="31"/>
          <w:lang w:eastAsia="zh-CN"/>
        </w:rPr>
        <w:t>2</w:t>
      </w:r>
      <w:r>
        <w:rPr>
          <w:rFonts w:ascii="Times New Roman" w:hAnsi="Times New Roman" w:eastAsia="Times New Roman" w:cs="Times New Roman"/>
          <w:spacing w:val="30"/>
          <w:sz w:val="31"/>
          <w:szCs w:val="31"/>
          <w:lang w:eastAsia="zh-CN"/>
        </w:rPr>
        <w:t xml:space="preserve"> </w:t>
      </w:r>
      <w:r>
        <w:rPr>
          <w:rFonts w:ascii="仿宋" w:hAnsi="仿宋" w:eastAsia="仿宋" w:cs="仿宋"/>
          <w:spacing w:val="8"/>
          <w:sz w:val="31"/>
          <w:szCs w:val="31"/>
          <w:lang w:eastAsia="zh-CN"/>
        </w:rPr>
        <w:t>小时内组织复议，</w:t>
      </w:r>
      <w:r>
        <w:rPr>
          <w:rFonts w:ascii="仿宋" w:hAnsi="仿宋" w:eastAsia="仿宋" w:cs="仿宋"/>
          <w:spacing w:val="5"/>
          <w:sz w:val="31"/>
          <w:szCs w:val="31"/>
          <w:lang w:eastAsia="zh-CN"/>
        </w:rPr>
        <w:t>并及时将复议结果以书面形式告知申诉方。申诉方对复议结果仍有异议，可由该赛项领队代表参赛学校递交加盖学校公章的书面报告向大赛裁判委员会提出申诉，裁判委员会在接到申诉后两日</w:t>
      </w:r>
      <w:r>
        <w:rPr>
          <w:rFonts w:ascii="仿宋" w:hAnsi="仿宋" w:eastAsia="仿宋" w:cs="仿宋"/>
          <w:spacing w:val="7"/>
          <w:sz w:val="31"/>
          <w:szCs w:val="31"/>
          <w:lang w:eastAsia="zh-CN"/>
        </w:rPr>
        <w:t>内将裁决结果告知申诉方；若申诉方对裁判委员</w:t>
      </w:r>
      <w:r>
        <w:rPr>
          <w:rFonts w:ascii="仿宋" w:hAnsi="仿宋" w:eastAsia="仿宋" w:cs="仿宋"/>
          <w:spacing w:val="6"/>
          <w:sz w:val="31"/>
          <w:szCs w:val="31"/>
          <w:lang w:eastAsia="zh-CN"/>
        </w:rPr>
        <w:t>会裁决有异议，</w:t>
      </w:r>
      <w:r>
        <w:rPr>
          <w:rFonts w:ascii="仿宋" w:hAnsi="仿宋" w:eastAsia="仿宋" w:cs="仿宋"/>
          <w:spacing w:val="17"/>
          <w:sz w:val="31"/>
          <w:szCs w:val="31"/>
          <w:lang w:eastAsia="zh-CN"/>
        </w:rPr>
        <w:t>可由参赛学校递交加盖学校公章的书面报告向大赛仲</w:t>
      </w:r>
      <w:r>
        <w:rPr>
          <w:rFonts w:ascii="仿宋" w:hAnsi="仿宋" w:eastAsia="仿宋" w:cs="仿宋"/>
          <w:spacing w:val="16"/>
          <w:sz w:val="31"/>
          <w:szCs w:val="31"/>
          <w:lang w:eastAsia="zh-CN"/>
        </w:rPr>
        <w:t>裁委员会</w:t>
      </w:r>
      <w:r>
        <w:rPr>
          <w:rFonts w:ascii="仿宋" w:hAnsi="仿宋" w:eastAsia="仿宋" w:cs="仿宋"/>
          <w:spacing w:val="8"/>
          <w:sz w:val="31"/>
          <w:szCs w:val="31"/>
          <w:lang w:eastAsia="zh-CN"/>
        </w:rPr>
        <w:t>提出申诉，大赛仲裁委员会的仲裁结果为最终结果。</w:t>
      </w:r>
    </w:p>
    <w:p w14:paraId="0C7F9D9E">
      <w:pPr>
        <w:spacing w:before="179" w:line="297" w:lineRule="auto"/>
        <w:rPr>
          <w:rFonts w:ascii="仿宋" w:hAnsi="仿宋" w:eastAsia="仿宋" w:cs="仿宋"/>
          <w:sz w:val="31"/>
          <w:szCs w:val="31"/>
          <w:lang w:eastAsia="zh-CN"/>
        </w:rPr>
      </w:pPr>
      <w:r>
        <w:rPr>
          <w:rFonts w:ascii="仿宋" w:hAnsi="仿宋" w:eastAsia="仿宋" w:cs="仿宋"/>
          <w:spacing w:val="4"/>
          <w:sz w:val="31"/>
          <w:szCs w:val="31"/>
          <w:lang w:eastAsia="zh-CN"/>
        </w:rPr>
        <w:t>（七）申诉方不得以任何理由拒绝接收仲裁结果；不得以任</w:t>
      </w:r>
      <w:r>
        <w:rPr>
          <w:rFonts w:ascii="仿宋" w:hAnsi="仿宋" w:eastAsia="仿宋" w:cs="仿宋"/>
          <w:spacing w:val="5"/>
          <w:sz w:val="31"/>
          <w:szCs w:val="31"/>
          <w:lang w:eastAsia="zh-CN"/>
        </w:rPr>
        <w:t>何理由采取过激行为扰乱赛场秩序；仲裁结果由申诉人签收，不</w:t>
      </w:r>
      <w:r>
        <w:rPr>
          <w:rFonts w:ascii="仿宋" w:hAnsi="仿宋" w:eastAsia="仿宋" w:cs="仿宋"/>
          <w:spacing w:val="7"/>
          <w:sz w:val="31"/>
          <w:szCs w:val="31"/>
          <w:lang w:eastAsia="zh-CN"/>
        </w:rPr>
        <w:t>能代收；如在约定时间和地点申诉人离开，视为自行放弃申诉。</w:t>
      </w:r>
    </w:p>
    <w:p w14:paraId="5613C464">
      <w:pPr>
        <w:spacing w:before="181" w:line="228" w:lineRule="auto"/>
        <w:rPr>
          <w:rFonts w:ascii="仿宋" w:hAnsi="仿宋" w:eastAsia="仿宋" w:cs="仿宋"/>
          <w:sz w:val="31"/>
          <w:szCs w:val="31"/>
          <w:lang w:eastAsia="zh-CN"/>
        </w:rPr>
      </w:pPr>
      <w:r>
        <w:rPr>
          <w:rFonts w:ascii="仿宋" w:hAnsi="仿宋" w:eastAsia="仿宋" w:cs="仿宋"/>
          <w:spacing w:val="2"/>
          <w:sz w:val="31"/>
          <w:szCs w:val="31"/>
          <w:lang w:eastAsia="zh-CN"/>
        </w:rPr>
        <w:t>（八）申诉方可随时提出放弃申诉。</w:t>
      </w:r>
    </w:p>
    <w:p w14:paraId="3F61BAF1">
      <w:pPr>
        <w:spacing w:before="174" w:line="299" w:lineRule="auto"/>
        <w:ind w:right="68"/>
        <w:rPr>
          <w:rFonts w:ascii="仿宋" w:hAnsi="仿宋" w:eastAsia="仿宋" w:cs="仿宋"/>
          <w:sz w:val="31"/>
          <w:szCs w:val="31"/>
          <w:lang w:eastAsia="zh-CN"/>
        </w:rPr>
      </w:pPr>
      <w:r>
        <w:rPr>
          <w:rFonts w:ascii="仿宋" w:hAnsi="仿宋" w:eastAsia="仿宋" w:cs="仿宋"/>
          <w:spacing w:val="13"/>
          <w:sz w:val="31"/>
          <w:szCs w:val="31"/>
          <w:lang w:eastAsia="zh-CN"/>
        </w:rPr>
        <w:t>（九）申诉方必须提供真实的申诉信息并严格遵守申诉程</w:t>
      </w:r>
      <w:r>
        <w:rPr>
          <w:rFonts w:ascii="仿宋" w:hAnsi="仿宋" w:eastAsia="仿宋" w:cs="仿宋"/>
          <w:spacing w:val="5"/>
          <w:sz w:val="31"/>
          <w:szCs w:val="31"/>
          <w:lang w:eastAsia="zh-CN"/>
        </w:rPr>
        <w:t>序，提出无理申诉或采取过激行为扰乱赛场秩序的应给予取消参</w:t>
      </w:r>
      <w:r>
        <w:rPr>
          <w:rFonts w:ascii="仿宋" w:hAnsi="仿宋" w:eastAsia="仿宋" w:cs="仿宋"/>
          <w:spacing w:val="1"/>
          <w:sz w:val="31"/>
          <w:szCs w:val="31"/>
          <w:lang w:eastAsia="zh-CN"/>
        </w:rPr>
        <w:t xml:space="preserve"> </w:t>
      </w:r>
      <w:r>
        <w:rPr>
          <w:rFonts w:ascii="仿宋" w:hAnsi="仿宋" w:eastAsia="仿宋" w:cs="仿宋"/>
          <w:spacing w:val="5"/>
          <w:sz w:val="31"/>
          <w:szCs w:val="31"/>
          <w:lang w:eastAsia="zh-CN"/>
        </w:rPr>
        <w:t>赛成绩等处罚。</w:t>
      </w:r>
    </w:p>
    <w:p w14:paraId="7CE159B6">
      <w:pPr>
        <w:spacing w:before="210" w:line="226" w:lineRule="auto"/>
        <w:ind w:left="636"/>
        <w:outlineLvl w:val="0"/>
        <w:rPr>
          <w:rFonts w:ascii="黑体" w:hAnsi="黑体" w:eastAsia="黑体" w:cs="黑体"/>
          <w:sz w:val="31"/>
          <w:szCs w:val="31"/>
          <w:lang w:eastAsia="zh-CN"/>
        </w:rPr>
      </w:pPr>
      <w:r>
        <w:rPr>
          <w:rFonts w:ascii="黑体" w:hAnsi="黑体" w:eastAsia="黑体" w:cs="黑体"/>
          <w:spacing w:val="7"/>
          <w:sz w:val="31"/>
          <w:szCs w:val="31"/>
          <w:lang w:eastAsia="zh-CN"/>
        </w:rPr>
        <w:t>十</w:t>
      </w:r>
      <w:r>
        <w:rPr>
          <w:rFonts w:hint="eastAsia" w:ascii="黑体" w:hAnsi="黑体" w:eastAsia="黑体" w:cs="黑体"/>
          <w:spacing w:val="7"/>
          <w:sz w:val="31"/>
          <w:szCs w:val="31"/>
          <w:lang w:eastAsia="zh-CN"/>
        </w:rPr>
        <w:t>二</w:t>
      </w:r>
      <w:r>
        <w:rPr>
          <w:rFonts w:ascii="黑体" w:hAnsi="黑体" w:eastAsia="黑体" w:cs="黑体"/>
          <w:spacing w:val="7"/>
          <w:sz w:val="31"/>
          <w:szCs w:val="31"/>
          <w:lang w:eastAsia="zh-CN"/>
        </w:rPr>
        <w:t>、竞赛须知</w:t>
      </w:r>
    </w:p>
    <w:p w14:paraId="0FE3B92C">
      <w:pPr>
        <w:spacing w:before="175" w:line="316" w:lineRule="auto"/>
        <w:ind w:left="8" w:right="60" w:firstLine="648"/>
        <w:rPr>
          <w:rFonts w:ascii="仿宋" w:hAnsi="仿宋" w:eastAsia="仿宋" w:cs="仿宋"/>
          <w:spacing w:val="5"/>
          <w:sz w:val="31"/>
          <w:szCs w:val="31"/>
          <w:lang w:eastAsia="zh-CN"/>
        </w:rPr>
      </w:pPr>
      <w:r>
        <w:rPr>
          <w:rFonts w:ascii="仿宋" w:hAnsi="仿宋" w:eastAsia="仿宋" w:cs="仿宋"/>
          <w:spacing w:val="5"/>
          <w:sz w:val="31"/>
          <w:szCs w:val="31"/>
          <w:lang w:eastAsia="zh-CN"/>
        </w:rPr>
        <w:t>（一）大赛人员须知。</w:t>
      </w:r>
    </w:p>
    <w:p w14:paraId="30139C12">
      <w:pPr>
        <w:spacing w:before="175" w:line="316" w:lineRule="auto"/>
        <w:ind w:left="8" w:right="60" w:firstLine="648"/>
        <w:rPr>
          <w:rFonts w:ascii="仿宋" w:hAnsi="仿宋" w:eastAsia="仿宋" w:cs="仿宋"/>
          <w:spacing w:val="5"/>
          <w:sz w:val="31"/>
          <w:szCs w:val="31"/>
          <w:lang w:eastAsia="zh-CN"/>
        </w:rPr>
      </w:pPr>
      <w:r>
        <w:rPr>
          <w:rFonts w:ascii="仿宋" w:hAnsi="仿宋" w:eastAsia="仿宋" w:cs="仿宋"/>
          <w:spacing w:val="5"/>
          <w:sz w:val="31"/>
          <w:szCs w:val="31"/>
          <w:lang w:eastAsia="zh-CN"/>
        </w:rPr>
        <w:t>为确保大赛工作安全、有序开展，涉及大赛工作的人员应自查健康状况，一旦发现身体有不适症状，及时向所在单位报告，并尽快就诊检查。</w:t>
      </w:r>
    </w:p>
    <w:p w14:paraId="011EBD5B">
      <w:pPr>
        <w:spacing w:before="175" w:line="316" w:lineRule="auto"/>
        <w:ind w:left="8" w:right="60" w:firstLine="648"/>
        <w:rPr>
          <w:rFonts w:ascii="仿宋" w:hAnsi="仿宋" w:eastAsia="仿宋" w:cs="仿宋"/>
          <w:spacing w:val="5"/>
          <w:sz w:val="31"/>
          <w:szCs w:val="31"/>
          <w:lang w:eastAsia="zh-CN"/>
        </w:rPr>
      </w:pPr>
      <w:r>
        <w:rPr>
          <w:rFonts w:ascii="仿宋" w:hAnsi="仿宋" w:eastAsia="仿宋" w:cs="仿宋"/>
          <w:spacing w:val="5"/>
          <w:sz w:val="31"/>
          <w:szCs w:val="31"/>
          <w:lang w:eastAsia="zh-CN"/>
        </w:rPr>
        <w:t>（二）参赛队须知。</w:t>
      </w:r>
    </w:p>
    <w:p w14:paraId="5F24F776">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1.参赛队名称统一使用选手所在学校全称，团体赛不接受跨校组队报名。</w:t>
      </w:r>
    </w:p>
    <w:p w14:paraId="3FF86DE5">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2.参赛选手在报名资格审查通过后，原则上不再更换，如备赛过程中，选手因身患疾病或不可抗拒原因不能参赛，所在学校需于开赛 10 个工作日前出具书面报告并按相关参赛选手资格补充人员并接受审核。竞赛开始后，参赛队不得更换参赛选手，若有参赛队员缺席，则视为自动放弃竞赛团体名次排名</w:t>
      </w:r>
      <w:r>
        <w:rPr>
          <w:rFonts w:hint="eastAsia" w:ascii="仿宋" w:hAnsi="仿宋" w:eastAsia="仿宋" w:cs="仿宋"/>
          <w:spacing w:val="5"/>
          <w:sz w:val="31"/>
          <w:szCs w:val="31"/>
          <w:lang w:eastAsia="zh-CN"/>
        </w:rPr>
        <w:t>。</w:t>
      </w:r>
    </w:p>
    <w:p w14:paraId="547BCB83">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3.参赛队对大赛组委会发布的所有文件都要仔细阅读，确切了解大赛时间安排、评判细节等，以保证顺利参加比赛。</w:t>
      </w:r>
    </w:p>
    <w:p w14:paraId="04F18859">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4.参赛队按照大赛赛程安排，凭有效身份证件、大赛组委会 颁发的参赛证参加竞赛及相关活动。</w:t>
      </w:r>
    </w:p>
    <w:p w14:paraId="4B8E3B2D">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5.参赛队将通过抽签决定比赛场地和比赛顺序。</w:t>
      </w:r>
    </w:p>
    <w:p w14:paraId="078F3A30">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6.对于本规则没有规定的行为，裁判组有权作出裁决。在有 争议的情况下，大赛仲裁委员会的裁决是最终裁决。</w:t>
      </w:r>
    </w:p>
    <w:p w14:paraId="4FEA7B30">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7.本竞赛项目的解释权归大赛组委会。</w:t>
      </w:r>
    </w:p>
    <w:p w14:paraId="7A87812D">
      <w:pPr>
        <w:spacing w:before="175" w:line="316" w:lineRule="auto"/>
        <w:ind w:left="8" w:right="60" w:firstLine="648"/>
        <w:rPr>
          <w:rFonts w:ascii="仿宋" w:hAnsi="仿宋" w:eastAsia="仿宋" w:cs="仿宋"/>
          <w:spacing w:val="5"/>
          <w:sz w:val="31"/>
          <w:szCs w:val="31"/>
          <w:lang w:eastAsia="zh-CN"/>
        </w:rPr>
      </w:pPr>
      <w:r>
        <w:rPr>
          <w:rFonts w:ascii="仿宋" w:hAnsi="仿宋" w:eastAsia="仿宋" w:cs="仿宋"/>
          <w:spacing w:val="5"/>
          <w:sz w:val="31"/>
          <w:szCs w:val="31"/>
          <w:lang w:eastAsia="zh-CN"/>
        </w:rPr>
        <w:t>（三）指导教师、赛项领队须知。</w:t>
      </w:r>
    </w:p>
    <w:p w14:paraId="3F7ECDDA">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1.做好赛前抽签工作，确认比赛出场顺序，协助大赛承办单位组织好本单位选手参赛。</w:t>
      </w:r>
    </w:p>
    <w:p w14:paraId="5ABBA06E">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2.做好本单位参赛选手的业务辅导、心理疏导和思想引导工作，对参赛选手比赛过程抱以平和、包容心态，共同维护竞赛秩序。</w:t>
      </w:r>
    </w:p>
    <w:p w14:paraId="22AA1F18">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3.自觉遵守竞赛规则，尊重和支持裁判工作，不随意进入比赛现场及其他禁止入内的区域，确保比赛进程的公平、公正、顺畅、高效。</w:t>
      </w:r>
    </w:p>
    <w:p w14:paraId="7D50D389">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4.做好参赛队伍比赛全过程管理和出行安全教育。</w:t>
      </w:r>
    </w:p>
    <w:p w14:paraId="6D311A89">
      <w:pPr>
        <w:spacing w:before="175" w:line="316" w:lineRule="auto"/>
        <w:ind w:left="8" w:right="60" w:firstLine="648"/>
        <w:rPr>
          <w:rFonts w:ascii="仿宋" w:hAnsi="仿宋" w:eastAsia="仿宋" w:cs="仿宋"/>
          <w:spacing w:val="5"/>
          <w:sz w:val="31"/>
          <w:szCs w:val="31"/>
          <w:lang w:eastAsia="zh-CN"/>
        </w:rPr>
      </w:pPr>
      <w:r>
        <w:rPr>
          <w:rFonts w:ascii="仿宋" w:hAnsi="仿宋" w:eastAsia="仿宋" w:cs="仿宋"/>
          <w:spacing w:val="5"/>
          <w:sz w:val="31"/>
          <w:szCs w:val="31"/>
          <w:lang w:eastAsia="zh-CN"/>
        </w:rPr>
        <w:t>（四）参赛选手须知。</w:t>
      </w:r>
    </w:p>
    <w:p w14:paraId="6DF5A9C1">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1.参赛选手报到后，凭身份证领取参赛证。参赛证为选手参赛的凭据。参赛选手一经确认，中途不得任意更换，否则以作弊论处，其所在参赛队不得参与团体奖项的排名。</w:t>
      </w:r>
    </w:p>
    <w:p w14:paraId="643279F3">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2.参赛选手应持参赛有效证件，按竞赛顺序、项目场次和竞赛时间，提前</w:t>
      </w:r>
      <w:r>
        <w:rPr>
          <w:rFonts w:hint="eastAsia" w:ascii="仿宋" w:hAnsi="仿宋" w:eastAsia="仿宋" w:cs="仿宋"/>
          <w:spacing w:val="5"/>
          <w:sz w:val="31"/>
          <w:szCs w:val="31"/>
          <w:lang w:val="en-US" w:eastAsia="zh-CN"/>
        </w:rPr>
        <w:t>30</w:t>
      </w:r>
      <w:r>
        <w:rPr>
          <w:rFonts w:ascii="仿宋" w:hAnsi="仿宋" w:eastAsia="仿宋" w:cs="仿宋"/>
          <w:spacing w:val="5"/>
          <w:sz w:val="31"/>
          <w:szCs w:val="31"/>
          <w:lang w:eastAsia="zh-CN"/>
        </w:rPr>
        <w:t>分钟到各考核项目指定地点接受检录等。</w:t>
      </w:r>
    </w:p>
    <w:p w14:paraId="1C6A6C76">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3.检录后的选手，应在工作人员的引进下，提前</w:t>
      </w:r>
      <w:r>
        <w:rPr>
          <w:rFonts w:hint="eastAsia" w:ascii="仿宋" w:hAnsi="仿宋" w:eastAsia="仿宋" w:cs="仿宋"/>
          <w:spacing w:val="5"/>
          <w:sz w:val="31"/>
          <w:szCs w:val="31"/>
          <w:lang w:val="en-US" w:eastAsia="zh-CN"/>
        </w:rPr>
        <w:t>15</w:t>
      </w:r>
      <w:r>
        <w:rPr>
          <w:rFonts w:ascii="仿宋" w:hAnsi="仿宋" w:eastAsia="仿宋" w:cs="仿宋"/>
          <w:spacing w:val="5"/>
          <w:sz w:val="31"/>
          <w:szCs w:val="31"/>
          <w:lang w:eastAsia="zh-CN"/>
        </w:rPr>
        <w:t>分钟到达竞赛现场，从竞赛计时开始，比赛开始</w:t>
      </w:r>
      <w:r>
        <w:rPr>
          <w:rFonts w:hint="eastAsia" w:ascii="仿宋" w:hAnsi="仿宋" w:eastAsia="仿宋" w:cs="仿宋"/>
          <w:spacing w:val="5"/>
          <w:sz w:val="31"/>
          <w:szCs w:val="31"/>
          <w:lang w:val="en-US" w:eastAsia="zh-CN"/>
        </w:rPr>
        <w:t>15</w:t>
      </w:r>
      <w:r>
        <w:rPr>
          <w:rFonts w:ascii="仿宋" w:hAnsi="仿宋" w:eastAsia="仿宋" w:cs="仿宋"/>
          <w:spacing w:val="5"/>
          <w:sz w:val="31"/>
          <w:szCs w:val="31"/>
          <w:lang w:eastAsia="zh-CN"/>
        </w:rPr>
        <w:t>分钟后，选手未到即取消该项目的参赛资格。</w:t>
      </w:r>
    </w:p>
    <w:p w14:paraId="29580B89">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4.参赛选手进入赛场，应佩戴参赛证</w:t>
      </w:r>
      <w:r>
        <w:rPr>
          <w:rFonts w:hint="eastAsia" w:ascii="仿宋" w:hAnsi="仿宋" w:eastAsia="仿宋" w:cs="仿宋"/>
          <w:spacing w:val="5"/>
          <w:sz w:val="31"/>
          <w:szCs w:val="31"/>
          <w:lang w:eastAsia="zh-CN"/>
        </w:rPr>
        <w:t>，</w:t>
      </w:r>
      <w:r>
        <w:rPr>
          <w:rFonts w:ascii="仿宋" w:hAnsi="仿宋" w:eastAsia="仿宋" w:cs="仿宋"/>
          <w:spacing w:val="5"/>
          <w:sz w:val="31"/>
          <w:szCs w:val="31"/>
          <w:lang w:eastAsia="zh-CN"/>
        </w:rPr>
        <w:t>做到衣着整洁，符合安全生产及竞赛要求。</w:t>
      </w:r>
    </w:p>
    <w:p w14:paraId="18D9FC8A">
      <w:pPr>
        <w:spacing w:before="175" w:line="316" w:lineRule="auto"/>
        <w:ind w:right="60"/>
        <w:rPr>
          <w:rFonts w:hint="eastAsia" w:ascii="仿宋" w:hAnsi="仿宋" w:eastAsia="仿宋" w:cs="仿宋"/>
          <w:spacing w:val="5"/>
          <w:sz w:val="31"/>
          <w:szCs w:val="31"/>
          <w:lang w:eastAsia="zh-CN"/>
        </w:rPr>
      </w:pPr>
      <w:r>
        <w:rPr>
          <w:rFonts w:ascii="仿宋" w:hAnsi="仿宋" w:eastAsia="仿宋" w:cs="仿宋"/>
          <w:spacing w:val="5"/>
          <w:sz w:val="31"/>
          <w:szCs w:val="31"/>
          <w:lang w:eastAsia="zh-CN"/>
        </w:rPr>
        <w:t>5.比赛需连续进行，比赛一旦计时开始不能无故终止比赛。比赛过程中，参赛选手必须严格遵守竞赛纪律，并接受裁判员的监督和警示。若比赛过程中出现设备问题，由裁判长视具体情况做出裁决，并现场记录予以加时</w:t>
      </w:r>
      <w:r>
        <w:rPr>
          <w:rFonts w:hint="eastAsia" w:ascii="仿宋" w:hAnsi="仿宋" w:eastAsia="仿宋" w:cs="仿宋"/>
          <w:spacing w:val="5"/>
          <w:sz w:val="31"/>
          <w:szCs w:val="31"/>
          <w:lang w:eastAsia="zh-CN"/>
        </w:rPr>
        <w:t>。</w:t>
      </w:r>
    </w:p>
    <w:p w14:paraId="7C584BB7">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6.参赛选手应认真阅读各项目竞赛操作须知，自觉遵守赛场纪律，按竞赛规则、项目与赛场要求进行竞赛，没有事先报备和允许，不得携带任何书面或电子资料、U盘、手机等通讯设备进入赛场，不得有任何舞弊行为，否则视情节轻重执行赛场纪律。</w:t>
      </w:r>
    </w:p>
    <w:p w14:paraId="045AB33F">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7.竞赛期间，竞赛选手应服从裁判评判，若对裁判评分产生异议，不得与裁判争执、顶撞。</w:t>
      </w:r>
    </w:p>
    <w:p w14:paraId="58D5731A">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8.参赛选手如提前完成项目展示，应在指定的区域等待，经裁判同意方可离开赛场。</w:t>
      </w:r>
    </w:p>
    <w:p w14:paraId="34BE4641">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9.竞赛过程中如因竞赛设备或检测仪器发生故障，应及时报告裁判，不得私自处理，否则取消本场次比赛资格。</w:t>
      </w:r>
    </w:p>
    <w:p w14:paraId="599E404D">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10.竞赛过程中，不得以任何方式泄露参赛学校、选手姓名等涉及竞赛场上应该保密的信息，否则取消评分资格。</w:t>
      </w:r>
    </w:p>
    <w:p w14:paraId="0D0C4048">
      <w:pPr>
        <w:spacing w:before="175" w:line="316" w:lineRule="auto"/>
        <w:ind w:right="60"/>
        <w:rPr>
          <w:rFonts w:ascii="仿宋" w:hAnsi="仿宋" w:eastAsia="仿宋" w:cs="仿宋"/>
          <w:spacing w:val="5"/>
          <w:sz w:val="31"/>
          <w:szCs w:val="31"/>
          <w:lang w:eastAsia="zh-CN"/>
        </w:rPr>
      </w:pPr>
      <w:r>
        <w:rPr>
          <w:rFonts w:ascii="仿宋" w:hAnsi="仿宋" w:eastAsia="仿宋" w:cs="仿宋"/>
          <w:spacing w:val="5"/>
          <w:sz w:val="31"/>
          <w:szCs w:val="31"/>
          <w:lang w:eastAsia="zh-CN"/>
        </w:rPr>
        <w:t>11.技能大赛参赛作品的版权归大赛组委会所有,由大赛组委会统一使用与管理。</w:t>
      </w:r>
    </w:p>
    <w:p w14:paraId="7A51CDE6">
      <w:pPr>
        <w:spacing w:before="210" w:line="226" w:lineRule="auto"/>
        <w:outlineLvl w:val="0"/>
        <w:rPr>
          <w:rFonts w:ascii="黑体" w:hAnsi="黑体" w:eastAsia="黑体" w:cs="黑体"/>
          <w:spacing w:val="7"/>
          <w:sz w:val="31"/>
          <w:szCs w:val="31"/>
          <w:lang w:eastAsia="zh-CN"/>
        </w:rPr>
      </w:pPr>
      <w:r>
        <w:rPr>
          <w:rFonts w:ascii="黑体" w:hAnsi="黑体" w:eastAsia="黑体" w:cs="黑体"/>
          <w:spacing w:val="7"/>
          <w:sz w:val="31"/>
          <w:szCs w:val="31"/>
          <w:lang w:eastAsia="zh-CN"/>
        </w:rPr>
        <w:t>十</w:t>
      </w:r>
      <w:r>
        <w:rPr>
          <w:rFonts w:hint="eastAsia" w:ascii="黑体" w:hAnsi="黑体" w:eastAsia="黑体" w:cs="黑体"/>
          <w:spacing w:val="7"/>
          <w:sz w:val="31"/>
          <w:szCs w:val="31"/>
          <w:lang w:eastAsia="zh-CN"/>
        </w:rPr>
        <w:t>三</w:t>
      </w:r>
      <w:r>
        <w:rPr>
          <w:rFonts w:ascii="黑体" w:hAnsi="黑体" w:eastAsia="黑体" w:cs="黑体"/>
          <w:spacing w:val="7"/>
          <w:sz w:val="31"/>
          <w:szCs w:val="31"/>
          <w:lang w:eastAsia="zh-CN"/>
        </w:rPr>
        <w:t>、本竞赛项目的最终解释权归大赛组委会。</w:t>
      </w:r>
    </w:p>
    <w:sectPr>
      <w:pgSz w:w="11906" w:h="16839"/>
      <w:pgMar w:top="1431" w:right="1407" w:bottom="0" w:left="160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3C"/>
    <w:rsid w:val="001155D9"/>
    <w:rsid w:val="005C593F"/>
    <w:rsid w:val="00602FA3"/>
    <w:rsid w:val="0062383C"/>
    <w:rsid w:val="0068785B"/>
    <w:rsid w:val="006D1815"/>
    <w:rsid w:val="006E0471"/>
    <w:rsid w:val="00892F9D"/>
    <w:rsid w:val="008D64D6"/>
    <w:rsid w:val="008E61D2"/>
    <w:rsid w:val="00A05527"/>
    <w:rsid w:val="00AD4136"/>
    <w:rsid w:val="00AF59CF"/>
    <w:rsid w:val="00BC3ED0"/>
    <w:rsid w:val="00C52D2E"/>
    <w:rsid w:val="00C6735C"/>
    <w:rsid w:val="00CE6DF2"/>
    <w:rsid w:val="00E00CE2"/>
    <w:rsid w:val="00F51EDF"/>
    <w:rsid w:val="0E431ED1"/>
    <w:rsid w:val="16E6038B"/>
    <w:rsid w:val="28A33D72"/>
    <w:rsid w:val="3E7415A9"/>
    <w:rsid w:val="43CD018A"/>
    <w:rsid w:val="504D0FCF"/>
    <w:rsid w:val="5BDF7A49"/>
    <w:rsid w:val="66C33513"/>
    <w:rsid w:val="77757675"/>
    <w:rsid w:val="7D1943FF"/>
    <w:rsid w:val="CDDB7973"/>
    <w:rsid w:val="F7F6BD5F"/>
    <w:rsid w:val="F7FE7ACB"/>
    <w:rsid w:val="FFB6E2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等线"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annotation text"/>
    <w:basedOn w:val="1"/>
    <w:uiPriority w:val="0"/>
    <w:pPr>
      <w:jc w:val="left"/>
    </w:p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 w:type="paragraph" w:styleId="9">
    <w:name w:val="List Paragraph"/>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4"/>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5800</Words>
  <Characters>6159</Characters>
  <Lines>51</Lines>
  <Paragraphs>14</Paragraphs>
  <TotalTime>2</TotalTime>
  <ScaleCrop>false</ScaleCrop>
  <LinksUpToDate>false</LinksUpToDate>
  <CharactersWithSpaces>6295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2025-02-07T01:53:00Z</dcterms:created>
  <dc:creator>Lenovo</dc:creator>
  <cp:lastModifiedBy>fanfan字萌之</cp:lastModifiedBy>
  <dcterms:modified xsi:type="dcterms:W3CDTF">2025-03-07T07:48:08Z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2025-02-27T17:22:13Z</vt:filetime>
  </property>
  <property fmtid="{D5CDD505-2E9C-101B-9397-08002B2CF9AE}" pid="4" name="KSOTemplateDocerSaveRecord">
    <vt:lpwstr>eyJoZGlkIjoiNDM4MDlkOTY0ZDA2ZWUyMWJmY2U3N2Q5OGY2OTMwNTIiLCJ1c2VySWQiOiIyMzk3OTkzMzgifQ==</vt:lpwstr>
  </property>
  <property fmtid="{D5CDD505-2E9C-101B-9397-08002B2CF9AE}" pid="5" name="KSOProductBuildVer">
    <vt:lpwstr>2052-12.1.0.20305</vt:lpwstr>
  </property>
  <property fmtid="{D5CDD505-2E9C-101B-9397-08002B2CF9AE}" pid="6" name="ICV">
    <vt:lpwstr>B15FC523A8EC464C926F4FFE4959AADC_13</vt:lpwstr>
  </property>
</Properties>
</file>