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AEC59">
      <w:pPr>
        <w:pStyle w:val="2"/>
        <w:spacing w:line="259" w:lineRule="auto"/>
      </w:pPr>
    </w:p>
    <w:p w14:paraId="39D88100">
      <w:pPr>
        <w:pStyle w:val="2"/>
        <w:spacing w:line="259" w:lineRule="auto"/>
      </w:pPr>
    </w:p>
    <w:p w14:paraId="6304D682">
      <w:pPr>
        <w:pStyle w:val="2"/>
        <w:spacing w:line="259" w:lineRule="auto"/>
      </w:pPr>
    </w:p>
    <w:p w14:paraId="25A57854">
      <w:pPr>
        <w:pStyle w:val="2"/>
        <w:spacing w:line="259" w:lineRule="auto"/>
      </w:pPr>
    </w:p>
    <w:p w14:paraId="06748810">
      <w:pPr>
        <w:pStyle w:val="2"/>
        <w:spacing w:line="260" w:lineRule="auto"/>
      </w:pPr>
    </w:p>
    <w:p w14:paraId="3B9498BF">
      <w:pPr>
        <w:pStyle w:val="2"/>
        <w:spacing w:line="260" w:lineRule="auto"/>
      </w:pPr>
    </w:p>
    <w:p w14:paraId="657A892A">
      <w:pPr>
        <w:pStyle w:val="2"/>
        <w:spacing w:line="260" w:lineRule="auto"/>
      </w:pPr>
    </w:p>
    <w:p w14:paraId="58B3D3EC">
      <w:pPr>
        <w:spacing w:before="169" w:line="305" w:lineRule="auto"/>
        <w:ind w:left="3181" w:right="663" w:hanging="2396"/>
        <w:jc w:val="center"/>
        <w:outlineLvl w:val="0"/>
        <w:rPr>
          <w:rFonts w:ascii="宋体" w:hAnsi="宋体" w:eastAsia="宋体" w:cs="宋体"/>
          <w:b/>
          <w:bCs/>
          <w:spacing w:val="-7"/>
          <w:sz w:val="52"/>
          <w:szCs w:val="52"/>
        </w:rPr>
      </w:pPr>
      <w:r>
        <w:rPr>
          <w:rFonts w:ascii="宋体" w:hAnsi="宋体" w:eastAsia="宋体" w:cs="宋体"/>
          <w:b/>
          <w:bCs/>
          <w:spacing w:val="-7"/>
          <w:sz w:val="52"/>
          <w:szCs w:val="52"/>
        </w:rPr>
        <w:t>2025年</w:t>
      </w:r>
      <w:r>
        <w:rPr>
          <w:rFonts w:hint="eastAsia" w:ascii="宋体" w:hAnsi="宋体" w:eastAsia="宋体" w:cs="宋体"/>
          <w:b/>
          <w:bCs/>
          <w:spacing w:val="-7"/>
          <w:sz w:val="52"/>
          <w:szCs w:val="52"/>
          <w:lang w:eastAsia="zh-CN"/>
        </w:rPr>
        <w:t>渭南市</w:t>
      </w:r>
      <w:r>
        <w:rPr>
          <w:rFonts w:ascii="宋体" w:hAnsi="宋体" w:eastAsia="宋体" w:cs="宋体"/>
          <w:b/>
          <w:bCs/>
          <w:spacing w:val="-7"/>
          <w:sz w:val="52"/>
          <w:szCs w:val="52"/>
        </w:rPr>
        <w:t>职业院校技能</w:t>
      </w:r>
    </w:p>
    <w:p w14:paraId="1D40EC73">
      <w:pPr>
        <w:spacing w:before="169" w:line="305" w:lineRule="auto"/>
        <w:ind w:left="3181" w:right="663" w:hanging="2396"/>
        <w:jc w:val="center"/>
        <w:outlineLvl w:val="0"/>
        <w:rPr>
          <w:rFonts w:ascii="宋体" w:hAnsi="宋体" w:eastAsia="宋体" w:cs="宋体"/>
          <w:sz w:val="52"/>
          <w:szCs w:val="52"/>
        </w:rPr>
      </w:pPr>
      <w:r>
        <w:rPr>
          <w:rFonts w:hint="eastAsia" w:ascii="宋体" w:hAnsi="宋体" w:eastAsia="宋体" w:cs="宋体"/>
          <w:b/>
          <w:bCs/>
          <w:spacing w:val="-7"/>
          <w:sz w:val="52"/>
          <w:szCs w:val="52"/>
          <w:lang w:eastAsia="zh-CN"/>
        </w:rPr>
        <w:t>大</w:t>
      </w:r>
      <w:r>
        <w:rPr>
          <w:rFonts w:ascii="宋体" w:hAnsi="宋体" w:eastAsia="宋体" w:cs="宋体"/>
          <w:b/>
          <w:bCs/>
          <w:spacing w:val="-7"/>
          <w:sz w:val="52"/>
          <w:szCs w:val="52"/>
        </w:rPr>
        <w:t>赛</w:t>
      </w:r>
      <w:r>
        <w:rPr>
          <w:rFonts w:ascii="宋体" w:hAnsi="宋体" w:eastAsia="宋体" w:cs="宋体"/>
          <w:b/>
          <w:bCs/>
          <w:spacing w:val="-6"/>
          <w:sz w:val="52"/>
          <w:szCs w:val="52"/>
        </w:rPr>
        <w:t>赛项规程</w:t>
      </w:r>
    </w:p>
    <w:p w14:paraId="7B4CD812">
      <w:pPr>
        <w:pStyle w:val="2"/>
        <w:spacing w:line="247" w:lineRule="auto"/>
      </w:pPr>
    </w:p>
    <w:p w14:paraId="32A4C313">
      <w:pPr>
        <w:pStyle w:val="2"/>
        <w:spacing w:line="248" w:lineRule="auto"/>
      </w:pPr>
    </w:p>
    <w:p w14:paraId="0134B71F">
      <w:pPr>
        <w:pStyle w:val="2"/>
        <w:spacing w:line="248" w:lineRule="auto"/>
      </w:pPr>
    </w:p>
    <w:p w14:paraId="2EC4B79C">
      <w:pPr>
        <w:pStyle w:val="2"/>
        <w:spacing w:line="248" w:lineRule="auto"/>
      </w:pPr>
    </w:p>
    <w:p w14:paraId="00685EFB">
      <w:pPr>
        <w:pStyle w:val="2"/>
        <w:spacing w:line="248" w:lineRule="auto"/>
      </w:pPr>
    </w:p>
    <w:p w14:paraId="42AC2B0C">
      <w:pPr>
        <w:pStyle w:val="2"/>
        <w:spacing w:line="248" w:lineRule="auto"/>
      </w:pPr>
    </w:p>
    <w:p w14:paraId="3AD3B63E">
      <w:pPr>
        <w:pStyle w:val="2"/>
        <w:spacing w:line="248" w:lineRule="auto"/>
      </w:pPr>
    </w:p>
    <w:p w14:paraId="0DB154D9">
      <w:pPr>
        <w:pStyle w:val="2"/>
        <w:spacing w:line="248" w:lineRule="auto"/>
      </w:pPr>
    </w:p>
    <w:p w14:paraId="16FC25D5">
      <w:pPr>
        <w:pStyle w:val="2"/>
        <w:spacing w:line="248" w:lineRule="auto"/>
      </w:pPr>
    </w:p>
    <w:p w14:paraId="3814EBE0">
      <w:pPr>
        <w:pStyle w:val="2"/>
        <w:spacing w:line="248" w:lineRule="auto"/>
      </w:pPr>
    </w:p>
    <w:p w14:paraId="009A2DB6">
      <w:pPr>
        <w:pStyle w:val="2"/>
        <w:spacing w:line="248" w:lineRule="auto"/>
      </w:pPr>
    </w:p>
    <w:p w14:paraId="47754D03">
      <w:pPr>
        <w:pStyle w:val="2"/>
        <w:spacing w:line="248" w:lineRule="auto"/>
      </w:pPr>
    </w:p>
    <w:p w14:paraId="6F657011">
      <w:pPr>
        <w:pStyle w:val="2"/>
        <w:spacing w:line="248" w:lineRule="auto"/>
      </w:pPr>
    </w:p>
    <w:p w14:paraId="194F986C">
      <w:pPr>
        <w:pStyle w:val="2"/>
        <w:spacing w:line="248" w:lineRule="auto"/>
      </w:pPr>
    </w:p>
    <w:p w14:paraId="10CB980E">
      <w:pPr>
        <w:pStyle w:val="2"/>
        <w:spacing w:line="248" w:lineRule="auto"/>
      </w:pPr>
    </w:p>
    <w:p w14:paraId="56B8FDAF">
      <w:pPr>
        <w:pStyle w:val="2"/>
        <w:spacing w:line="248" w:lineRule="auto"/>
      </w:pPr>
    </w:p>
    <w:p w14:paraId="768BF7BA">
      <w:pPr>
        <w:pStyle w:val="2"/>
        <w:spacing w:line="248" w:lineRule="auto"/>
      </w:pPr>
    </w:p>
    <w:p w14:paraId="69D4EAD2">
      <w:pPr>
        <w:pStyle w:val="2"/>
        <w:spacing w:line="248" w:lineRule="auto"/>
      </w:pPr>
    </w:p>
    <w:p w14:paraId="73289EB2">
      <w:pPr>
        <w:pStyle w:val="2"/>
        <w:spacing w:line="248" w:lineRule="auto"/>
      </w:pPr>
    </w:p>
    <w:p w14:paraId="6FB8C83C">
      <w:pPr>
        <w:pStyle w:val="2"/>
        <w:spacing w:line="248" w:lineRule="auto"/>
      </w:pPr>
    </w:p>
    <w:p w14:paraId="0ECBEE4C">
      <w:pPr>
        <w:pStyle w:val="2"/>
        <w:spacing w:line="248" w:lineRule="auto"/>
      </w:pPr>
    </w:p>
    <w:p w14:paraId="79238229">
      <w:pPr>
        <w:pStyle w:val="2"/>
        <w:spacing w:line="248" w:lineRule="auto"/>
      </w:pPr>
    </w:p>
    <w:p w14:paraId="55C39EE5">
      <w:pPr>
        <w:pStyle w:val="2"/>
        <w:spacing w:line="248" w:lineRule="auto"/>
      </w:pPr>
    </w:p>
    <w:p w14:paraId="7318C82B">
      <w:pPr>
        <w:spacing w:before="314" w:line="408" w:lineRule="auto"/>
        <w:ind w:left="1735" w:right="1012"/>
        <w:jc w:val="both"/>
        <w:rPr>
          <w:rFonts w:hint="default" w:ascii="黑体" w:hAnsi="黑体" w:eastAsia="黑体" w:cs="黑体"/>
          <w:spacing w:val="3"/>
          <w:sz w:val="31"/>
          <w:szCs w:val="31"/>
          <w:u w:val="single" w:color="auto"/>
          <w:lang w:val="en-US" w:eastAsia="zh-CN"/>
        </w:rPr>
      </w:pPr>
      <w:r>
        <w:rPr>
          <w:rFonts w:ascii="黑体" w:hAnsi="黑体" w:eastAsia="黑体" w:cs="黑体"/>
          <w:spacing w:val="3"/>
          <w:sz w:val="31"/>
          <w:szCs w:val="31"/>
        </w:rPr>
        <w:t>赛项组别：</w:t>
      </w:r>
      <w:r>
        <w:rPr>
          <w:rFonts w:hint="eastAsia" w:ascii="黑体" w:hAnsi="黑体" w:eastAsia="黑体" w:cs="黑体"/>
          <w:spacing w:val="3"/>
          <w:sz w:val="31"/>
          <w:szCs w:val="31"/>
          <w:u w:val="single"/>
          <w:lang w:val="en-US" w:eastAsia="zh-CN"/>
        </w:rPr>
        <w:t xml:space="preserve">    </w:t>
      </w:r>
      <w:r>
        <w:rPr>
          <w:rFonts w:ascii="黑体" w:hAnsi="黑体" w:eastAsia="黑体" w:cs="黑体"/>
          <w:spacing w:val="3"/>
          <w:sz w:val="31"/>
          <w:szCs w:val="31"/>
          <w:u w:val="single" w:color="auto"/>
        </w:rPr>
        <w:t>中职组</w:t>
      </w:r>
      <w:r>
        <w:rPr>
          <w:rFonts w:hint="eastAsia" w:ascii="黑体" w:hAnsi="黑体" w:eastAsia="黑体" w:cs="黑体"/>
          <w:spacing w:val="3"/>
          <w:sz w:val="31"/>
          <w:szCs w:val="31"/>
          <w:u w:val="single" w:color="auto"/>
          <w:lang w:val="en-US" w:eastAsia="zh-CN"/>
        </w:rPr>
        <w:t xml:space="preserve">      </w:t>
      </w:r>
    </w:p>
    <w:p w14:paraId="313DFF82">
      <w:pPr>
        <w:spacing w:before="314" w:line="408" w:lineRule="auto"/>
        <w:ind w:left="1735" w:right="1012"/>
        <w:jc w:val="both"/>
        <w:rPr>
          <w:rFonts w:hint="eastAsia" w:ascii="黑体" w:hAnsi="黑体" w:eastAsia="黑体" w:cs="黑体"/>
          <w:spacing w:val="7"/>
          <w:sz w:val="31"/>
          <w:szCs w:val="31"/>
          <w:u w:val="single" w:color="auto"/>
          <w:lang w:val="en-US" w:eastAsia="zh-CN"/>
        </w:rPr>
      </w:pPr>
      <w:r>
        <w:rPr>
          <w:rFonts w:ascii="黑体" w:hAnsi="黑体" w:eastAsia="黑体" w:cs="黑体"/>
          <w:spacing w:val="7"/>
          <w:sz w:val="31"/>
          <w:szCs w:val="31"/>
        </w:rPr>
        <w:t>赛项名称：</w:t>
      </w:r>
      <w:r>
        <w:rPr>
          <w:rFonts w:hint="eastAsia" w:ascii="黑体" w:hAnsi="黑体" w:eastAsia="黑体" w:cs="黑体"/>
          <w:spacing w:val="7"/>
          <w:sz w:val="31"/>
          <w:szCs w:val="31"/>
          <w:u w:val="single" w:color="auto"/>
          <w:lang w:val="en-US" w:eastAsia="zh-CN"/>
        </w:rPr>
        <w:t>物联网应用与服务</w:t>
      </w:r>
    </w:p>
    <w:p w14:paraId="077C375D">
      <w:pPr>
        <w:spacing w:before="314" w:line="408" w:lineRule="auto"/>
        <w:ind w:left="1735" w:right="1012"/>
        <w:jc w:val="both"/>
        <w:rPr>
          <w:rFonts w:hint="default" w:ascii="黑体" w:hAnsi="黑体" w:eastAsia="黑体" w:cs="黑体"/>
          <w:sz w:val="31"/>
          <w:szCs w:val="31"/>
          <w:lang w:val="en-US" w:eastAsia="zh-CN"/>
        </w:rPr>
      </w:pPr>
      <w:r>
        <w:rPr>
          <w:rFonts w:ascii="黑体" w:hAnsi="黑体" w:eastAsia="黑体" w:cs="黑体"/>
          <w:spacing w:val="7"/>
          <w:sz w:val="31"/>
          <w:szCs w:val="31"/>
        </w:rPr>
        <w:t>归属赛道：</w:t>
      </w:r>
      <w:r>
        <w:rPr>
          <w:rFonts w:hint="eastAsia" w:ascii="黑体" w:hAnsi="黑体" w:eastAsia="黑体" w:cs="黑体"/>
          <w:spacing w:val="7"/>
          <w:sz w:val="31"/>
          <w:szCs w:val="31"/>
          <w:u w:val="single" w:color="auto"/>
          <w:lang w:val="en-US" w:eastAsia="zh-CN"/>
        </w:rPr>
        <w:t>电子与信息赛道三</w:t>
      </w:r>
    </w:p>
    <w:p w14:paraId="26AC2A8B">
      <w:pPr>
        <w:spacing w:before="46" w:line="228" w:lineRule="auto"/>
        <w:ind w:left="1730"/>
        <w:jc w:val="both"/>
        <w:rPr>
          <w:rFonts w:hint="default" w:ascii="黑体" w:hAnsi="黑体" w:eastAsia="黑体" w:cs="黑体"/>
          <w:color w:val="auto"/>
          <w:sz w:val="31"/>
          <w:szCs w:val="31"/>
          <w:lang w:val="en-US" w:eastAsia="zh-CN"/>
        </w:rPr>
      </w:pPr>
      <w:r>
        <w:rPr>
          <w:rFonts w:ascii="黑体" w:hAnsi="黑体" w:eastAsia="黑体" w:cs="黑体"/>
          <w:color w:val="auto"/>
          <w:spacing w:val="8"/>
          <w:sz w:val="31"/>
          <w:szCs w:val="31"/>
        </w:rPr>
        <w:t>对接产业：</w:t>
      </w:r>
      <w:r>
        <w:rPr>
          <w:rFonts w:hint="eastAsia" w:ascii="黑体" w:hAnsi="黑体" w:eastAsia="黑体" w:cs="黑体"/>
          <w:color w:val="auto"/>
          <w:spacing w:val="8"/>
          <w:sz w:val="31"/>
          <w:szCs w:val="31"/>
          <w:u w:val="single" w:color="auto"/>
          <w:lang w:val="en-US" w:eastAsia="zh-CN"/>
        </w:rPr>
        <w:t xml:space="preserve">数字经济产业    </w:t>
      </w:r>
    </w:p>
    <w:p w14:paraId="1F67DC8B">
      <w:pPr>
        <w:spacing w:line="228" w:lineRule="auto"/>
        <w:rPr>
          <w:rFonts w:hint="eastAsia" w:ascii="黑体" w:hAnsi="黑体" w:eastAsia="黑体" w:cs="黑体"/>
          <w:color w:val="auto"/>
          <w:sz w:val="31"/>
          <w:szCs w:val="31"/>
          <w:lang w:val="en-US" w:eastAsia="zh-CN"/>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p w14:paraId="015EB08C">
      <w:pPr>
        <w:numPr>
          <w:ilvl w:val="0"/>
          <w:numId w:val="1"/>
        </w:numPr>
        <w:spacing w:before="101" w:line="227" w:lineRule="auto"/>
        <w:ind w:left="638"/>
        <w:outlineLvl w:val="0"/>
        <w:rPr>
          <w:rFonts w:ascii="黑体" w:hAnsi="黑体" w:eastAsia="黑体" w:cs="黑体"/>
          <w:spacing w:val="6"/>
          <w:sz w:val="31"/>
          <w:szCs w:val="31"/>
        </w:rPr>
      </w:pPr>
      <w:r>
        <w:rPr>
          <w:rFonts w:ascii="黑体" w:hAnsi="黑体" w:eastAsia="黑体" w:cs="黑体"/>
          <w:spacing w:val="6"/>
          <w:sz w:val="31"/>
          <w:szCs w:val="31"/>
        </w:rPr>
        <w:t>竞赛目的</w:t>
      </w:r>
    </w:p>
    <w:p w14:paraId="37162CE8">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lang w:eastAsia="zh-CN"/>
        </w:rPr>
      </w:pPr>
      <w:r>
        <w:rPr>
          <w:rFonts w:ascii="仿宋" w:hAnsi="仿宋" w:eastAsia="仿宋" w:cs="仿宋"/>
          <w:color w:val="auto"/>
          <w:spacing w:val="-4"/>
          <w:kern w:val="0"/>
          <w:sz w:val="31"/>
          <w:szCs w:val="31"/>
          <w:lang w:bidi="ar-SA"/>
        </w:rPr>
        <w:t>为实施党的二十大精神和相关政策，推动职业院校物联网技术专业教学改革，提升人才培养和就业质量。本次比赛旨在考核参赛者在物联网应用与服务领域的综合能力，涵盖系统设计、设备调试、软件开发、数据分析等方面，展示学生技能水平；同时培养团队协作、沟通、问题解决和创新能力，以及职业素养，激发学生技术钻研和技能提升的热情。</w:t>
      </w:r>
    </w:p>
    <w:p w14:paraId="7455556C">
      <w:pPr>
        <w:numPr>
          <w:ilvl w:val="0"/>
          <w:numId w:val="1"/>
        </w:numPr>
        <w:spacing w:before="210" w:line="227" w:lineRule="auto"/>
        <w:ind w:left="638" w:leftChars="0" w:firstLine="0" w:firstLineChars="0"/>
        <w:outlineLvl w:val="0"/>
        <w:rPr>
          <w:rFonts w:ascii="黑体" w:hAnsi="黑体" w:eastAsia="黑体" w:cs="黑体"/>
          <w:spacing w:val="6"/>
          <w:sz w:val="31"/>
          <w:szCs w:val="31"/>
        </w:rPr>
      </w:pPr>
      <w:r>
        <w:rPr>
          <w:rFonts w:ascii="黑体" w:hAnsi="黑体" w:eastAsia="黑体" w:cs="黑体"/>
          <w:spacing w:val="6"/>
          <w:sz w:val="31"/>
          <w:szCs w:val="31"/>
        </w:rPr>
        <w:t>竞赛内容</w:t>
      </w:r>
    </w:p>
    <w:p w14:paraId="2CB66278"/>
    <w:p w14:paraId="27AF0F6F">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val="en-US" w:eastAsia="zh-CN" w:bidi="ar-SA"/>
        </w:rPr>
        <w:t>本赛项为团体赛，</w:t>
      </w:r>
      <w:r>
        <w:rPr>
          <w:rFonts w:ascii="仿宋" w:hAnsi="仿宋" w:eastAsia="仿宋" w:cs="仿宋"/>
          <w:color w:val="auto"/>
          <w:spacing w:val="-4"/>
          <w:kern w:val="0"/>
          <w:sz w:val="31"/>
          <w:szCs w:val="31"/>
          <w:lang w:bidi="ar-SA"/>
        </w:rPr>
        <w:t>采用线下比赛，按抽签顺序进行。参赛队自定项目名称和内容，需完成一个完整工作任务。团队成员分工进行技能操作和现场讲解，技能操作展示物联网服务与应用技能的熟练度、规范性及创新解决问题能力，现场讲解介绍项目思路、技能要点、成果和创新点。</w:t>
      </w:r>
    </w:p>
    <w:p w14:paraId="4DD4EEE5">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设计的参赛项目须符合职业岗位要求，操作规范、安全。不得含有任何违反《中华人民共和国宪法》及其他法律法规的内容。所涉及的发明创造、专利技术、资源等必须拥有清晰、合法的产权</w:t>
      </w:r>
      <w:r>
        <w:rPr>
          <w:rFonts w:hint="eastAsia" w:ascii="仿宋" w:hAnsi="仿宋" w:eastAsia="仿宋" w:cs="仿宋"/>
          <w:color w:val="auto"/>
          <w:spacing w:val="-4"/>
          <w:kern w:val="0"/>
          <w:sz w:val="31"/>
          <w:szCs w:val="31"/>
          <w:lang w:eastAsia="zh-CN" w:bidi="ar-SA"/>
        </w:rPr>
        <w:t>、</w:t>
      </w:r>
      <w:r>
        <w:rPr>
          <w:rFonts w:hint="eastAsia" w:ascii="仿宋" w:hAnsi="仿宋" w:eastAsia="仿宋" w:cs="仿宋"/>
          <w:color w:val="auto"/>
          <w:spacing w:val="-4"/>
          <w:kern w:val="0"/>
          <w:sz w:val="31"/>
          <w:szCs w:val="31"/>
          <w:lang w:val="en-US" w:eastAsia="zh-CN" w:bidi="ar-SA"/>
        </w:rPr>
        <w:t>版权</w:t>
      </w:r>
      <w:r>
        <w:rPr>
          <w:rFonts w:hint="eastAsia" w:ascii="仿宋" w:hAnsi="仿宋" w:eastAsia="仿宋" w:cs="仿宋"/>
          <w:color w:val="auto"/>
          <w:spacing w:val="-4"/>
          <w:kern w:val="0"/>
          <w:sz w:val="31"/>
          <w:szCs w:val="31"/>
          <w:lang w:bidi="ar-SA"/>
        </w:rPr>
        <w:t>或物权。参赛项目如有涉密内容，参赛前须进行脱密处理。不得有抄袭盗用他人成果、提供虚假材料等违反相关法律法规的行为。</w:t>
      </w:r>
    </w:p>
    <w:p w14:paraId="2859FC16"/>
    <w:p w14:paraId="078C3951">
      <w:pPr>
        <w:spacing w:before="101" w:line="227" w:lineRule="auto"/>
        <w:ind w:left="639"/>
        <w:outlineLvl w:val="0"/>
        <w:rPr>
          <w:rFonts w:ascii="黑体" w:hAnsi="黑体" w:eastAsia="黑体" w:cs="黑体"/>
          <w:sz w:val="31"/>
          <w:szCs w:val="31"/>
        </w:rPr>
      </w:pPr>
      <w:r>
        <w:rPr>
          <w:rFonts w:ascii="黑体" w:hAnsi="黑体" w:eastAsia="黑体" w:cs="黑体"/>
          <w:spacing w:val="6"/>
          <w:sz w:val="31"/>
          <w:szCs w:val="31"/>
        </w:rPr>
        <w:t>三、竞赛时间</w:t>
      </w:r>
    </w:p>
    <w:p w14:paraId="2E65C2F0">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本赛项比赛时长可由各参赛队根据项目实际需要确定，不超过1小时。</w:t>
      </w:r>
    </w:p>
    <w:p w14:paraId="50F5ECAF">
      <w:pPr>
        <w:spacing w:before="32" w:line="227" w:lineRule="auto"/>
        <w:ind w:left="651"/>
        <w:rPr>
          <w:rFonts w:ascii="黑体" w:hAnsi="黑体" w:eastAsia="黑体" w:cs="黑体"/>
          <w:sz w:val="31"/>
          <w:szCs w:val="31"/>
        </w:rPr>
      </w:pPr>
      <w:r>
        <w:rPr>
          <w:rFonts w:ascii="黑体" w:hAnsi="黑体" w:eastAsia="黑体" w:cs="黑体"/>
          <w:spacing w:val="4"/>
          <w:sz w:val="31"/>
          <w:szCs w:val="31"/>
        </w:rPr>
        <w:t>四、竞赛规则</w:t>
      </w:r>
    </w:p>
    <w:p w14:paraId="3088282C">
      <w:pPr>
        <w:pStyle w:val="2"/>
        <w:spacing w:line="318" w:lineRule="auto"/>
      </w:pPr>
    </w:p>
    <w:p w14:paraId="0390178F">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（一）参赛资格。</w:t>
      </w:r>
    </w:p>
    <w:p w14:paraId="42C5555A">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eastAsia="zh-CN" w:bidi="ar-SA"/>
        </w:rPr>
      </w:pPr>
      <w:r>
        <w:rPr>
          <w:rFonts w:hint="eastAsia" w:ascii="仿宋" w:hAnsi="仿宋" w:eastAsia="仿宋" w:cs="仿宋"/>
          <w:color w:val="auto"/>
          <w:spacing w:val="-4"/>
          <w:kern w:val="0"/>
          <w:sz w:val="31"/>
          <w:szCs w:val="31"/>
          <w:lang w:bidi="ar-SA"/>
        </w:rPr>
        <w:t>参见《</w:t>
      </w:r>
      <w:r>
        <w:rPr>
          <w:rFonts w:hint="eastAsia" w:ascii="仿宋" w:hAnsi="仿宋" w:eastAsia="仿宋" w:cs="仿宋"/>
          <w:color w:val="auto"/>
          <w:spacing w:val="-4"/>
          <w:kern w:val="0"/>
          <w:sz w:val="31"/>
          <w:szCs w:val="31"/>
          <w:lang w:eastAsia="zh-CN" w:bidi="ar-SA"/>
        </w:rPr>
        <w:t>关于举办</w:t>
      </w:r>
      <w:r>
        <w:rPr>
          <w:rFonts w:hint="eastAsia" w:ascii="仿宋" w:hAnsi="仿宋" w:eastAsia="仿宋" w:cs="仿宋"/>
          <w:color w:val="auto"/>
          <w:spacing w:val="-4"/>
          <w:kern w:val="0"/>
          <w:sz w:val="31"/>
          <w:szCs w:val="31"/>
          <w:lang w:val="en-US" w:eastAsia="zh-CN" w:bidi="ar-SA"/>
        </w:rPr>
        <w:t>2025年渭南市</w:t>
      </w:r>
      <w:r>
        <w:rPr>
          <w:rFonts w:hint="eastAsia" w:ascii="仿宋" w:hAnsi="仿宋" w:eastAsia="仿宋" w:cs="仿宋"/>
          <w:color w:val="auto"/>
          <w:spacing w:val="-4"/>
          <w:kern w:val="0"/>
          <w:sz w:val="31"/>
          <w:szCs w:val="31"/>
          <w:lang w:bidi="ar-SA"/>
        </w:rPr>
        <w:t>职业院校技能大赛的通知》</w:t>
      </w:r>
      <w:r>
        <w:rPr>
          <w:rFonts w:hint="eastAsia" w:ascii="仿宋" w:hAnsi="仿宋" w:eastAsia="仿宋" w:cs="仿宋"/>
          <w:color w:val="auto"/>
          <w:spacing w:val="-4"/>
          <w:kern w:val="0"/>
          <w:sz w:val="31"/>
          <w:szCs w:val="31"/>
          <w:lang w:eastAsia="zh-CN" w:bidi="ar-SA"/>
        </w:rPr>
        <w:t>相关参赛资格要求。</w:t>
      </w:r>
    </w:p>
    <w:p w14:paraId="32816E07">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（二）遵循准则。</w:t>
      </w:r>
    </w:p>
    <w:p w14:paraId="79E4E597">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1.学生必须持本人身份证和参赛证参加比赛。</w:t>
      </w:r>
    </w:p>
    <w:p w14:paraId="5370066C">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2.参赛选手出场顺序、位置由抽签决定，不得擅自变更、调整。</w:t>
      </w:r>
    </w:p>
    <w:p w14:paraId="55E97FAF">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bidi="ar-SA"/>
        </w:rPr>
        <w:t>3.参赛选手按时进入赛场，并按照指定位号参加比赛。迟到15分钟者，取消比赛资格。</w:t>
      </w:r>
    </w:p>
    <w:p w14:paraId="59B2E401">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bidi="ar-SA"/>
        </w:rPr>
      </w:pPr>
      <w:r>
        <w:rPr>
          <w:rFonts w:hint="eastAsia" w:ascii="仿宋" w:hAnsi="仿宋" w:eastAsia="仿宋" w:cs="仿宋"/>
          <w:color w:val="auto"/>
          <w:spacing w:val="-4"/>
          <w:kern w:val="0"/>
          <w:sz w:val="31"/>
          <w:szCs w:val="31"/>
          <w:lang w:val="en-US" w:eastAsia="zh-CN" w:bidi="ar-SA"/>
        </w:rPr>
        <w:t>4.</w:t>
      </w:r>
      <w:r>
        <w:rPr>
          <w:rFonts w:hint="eastAsia" w:ascii="仿宋" w:hAnsi="仿宋" w:eastAsia="仿宋" w:cs="仿宋"/>
          <w:color w:val="auto"/>
          <w:spacing w:val="-4"/>
          <w:kern w:val="0"/>
          <w:sz w:val="31"/>
          <w:szCs w:val="31"/>
          <w:lang w:bidi="ar-SA"/>
        </w:rPr>
        <w:t>选手在比赛过程中不得擅自离开赛场，如有特殊情况，需经裁判同意。选手若需休息、饮水或去洗手间等，耗用时间计算在比赛时间内。</w:t>
      </w:r>
    </w:p>
    <w:p w14:paraId="0B28B71F">
      <w:pPr>
        <w:keepNext w:val="0"/>
        <w:keepLines w:val="0"/>
        <w:pageBreakBefore w:val="0"/>
        <w:widowControl/>
        <w:kinsoku w:val="0"/>
        <w:wordWrap/>
        <w:overflowPunct/>
        <w:topLinePunct w:val="0"/>
        <w:autoSpaceDE w:val="0"/>
        <w:autoSpaceDN w:val="0"/>
        <w:bidi w:val="0"/>
        <w:adjustRightInd w:val="0"/>
        <w:snapToGrid w:val="0"/>
        <w:spacing w:before="331" w:line="240" w:lineRule="auto"/>
        <w:ind w:firstLine="604" w:firstLineChars="200"/>
        <w:jc w:val="both"/>
        <w:textAlignment w:val="baseline"/>
        <w:rPr>
          <w:rFonts w:hint="eastAsia" w:ascii="仿宋" w:hAnsi="仿宋" w:eastAsia="仿宋" w:cs="仿宋"/>
          <w:color w:val="auto"/>
          <w:spacing w:val="-4"/>
          <w:kern w:val="0"/>
          <w:sz w:val="31"/>
          <w:szCs w:val="31"/>
          <w:lang w:eastAsia="zh-CN" w:bidi="ar-SA"/>
        </w:rPr>
      </w:pPr>
      <w:r>
        <w:rPr>
          <w:rFonts w:hint="eastAsia" w:ascii="仿宋" w:hAnsi="仿宋" w:eastAsia="仿宋" w:cs="仿宋"/>
          <w:color w:val="auto"/>
          <w:spacing w:val="-4"/>
          <w:kern w:val="0"/>
          <w:sz w:val="31"/>
          <w:szCs w:val="31"/>
          <w:lang w:val="en-US" w:eastAsia="zh-CN" w:bidi="ar-SA"/>
        </w:rPr>
        <w:t>5.</w:t>
      </w:r>
      <w:r>
        <w:rPr>
          <w:rFonts w:hint="eastAsia" w:ascii="仿宋" w:hAnsi="仿宋" w:eastAsia="仿宋" w:cs="仿宋"/>
          <w:color w:val="auto"/>
          <w:spacing w:val="-4"/>
          <w:kern w:val="0"/>
          <w:sz w:val="31"/>
          <w:szCs w:val="31"/>
          <w:lang w:bidi="ar-SA"/>
        </w:rPr>
        <w:t>比赛结束时，参赛选手应立即停止操作，不得以任何理由拖延比赛时间</w:t>
      </w:r>
      <w:r>
        <w:rPr>
          <w:rFonts w:hint="eastAsia" w:ascii="仿宋" w:hAnsi="仿宋" w:eastAsia="仿宋" w:cs="仿宋"/>
          <w:color w:val="auto"/>
          <w:spacing w:val="-4"/>
          <w:kern w:val="0"/>
          <w:sz w:val="31"/>
          <w:szCs w:val="31"/>
          <w:lang w:eastAsia="zh-CN" w:bidi="ar-SA"/>
        </w:rPr>
        <w:t>。</w:t>
      </w:r>
    </w:p>
    <w:p w14:paraId="314298B3">
      <w:pPr>
        <w:pStyle w:val="2"/>
        <w:rPr>
          <w:rFonts w:hint="eastAsia"/>
          <w:lang w:eastAsia="zh-CN"/>
        </w:rPr>
      </w:pPr>
    </w:p>
    <w:p w14:paraId="43EF2C3D">
      <w:pPr>
        <w:spacing w:before="32" w:line="227" w:lineRule="auto"/>
        <w:ind w:left="651"/>
        <w:rPr>
          <w:rFonts w:ascii="黑体" w:hAnsi="黑体" w:eastAsia="黑体" w:cs="黑体"/>
          <w:spacing w:val="4"/>
          <w:sz w:val="31"/>
          <w:szCs w:val="31"/>
        </w:rPr>
      </w:pPr>
      <w:r>
        <w:rPr>
          <w:rFonts w:ascii="黑体" w:hAnsi="黑体" w:eastAsia="黑体" w:cs="黑体"/>
          <w:spacing w:val="4"/>
          <w:sz w:val="31"/>
          <w:szCs w:val="31"/>
        </w:rPr>
        <w:t>五、竞赛环境</w:t>
      </w:r>
    </w:p>
    <w:p w14:paraId="2B35DC70">
      <w:pPr>
        <w:spacing w:before="333" w:line="281" w:lineRule="auto"/>
        <w:ind w:left="12" w:firstLine="636"/>
        <w:rPr>
          <w:rFonts w:ascii="仿宋" w:hAnsi="仿宋" w:eastAsia="仿宋" w:cs="仿宋"/>
          <w:sz w:val="31"/>
          <w:szCs w:val="31"/>
        </w:rPr>
      </w:pPr>
      <w:r>
        <w:rPr>
          <w:rFonts w:ascii="仿宋" w:hAnsi="仿宋" w:eastAsia="仿宋" w:cs="仿宋"/>
          <w:spacing w:val="4"/>
          <w:sz w:val="31"/>
          <w:szCs w:val="31"/>
        </w:rPr>
        <w:t>（一）竞赛环境安静整洁</w:t>
      </w:r>
      <w:r>
        <w:rPr>
          <w:rFonts w:hint="eastAsia" w:ascii="仿宋" w:hAnsi="仿宋" w:eastAsia="仿宋" w:cs="仿宋"/>
          <w:spacing w:val="4"/>
          <w:sz w:val="31"/>
          <w:szCs w:val="31"/>
          <w:lang w:eastAsia="zh-CN"/>
        </w:rPr>
        <w:t>，</w:t>
      </w:r>
      <w:r>
        <w:rPr>
          <w:rFonts w:hint="eastAsia" w:ascii="仿宋" w:hAnsi="仿宋" w:eastAsia="仿宋" w:cs="仿宋"/>
          <w:color w:val="000000"/>
          <w:kern w:val="0"/>
          <w:sz w:val="32"/>
          <w:szCs w:val="32"/>
          <w:lang w:val="en-US" w:eastAsia="zh-CN" w:bidi="ar"/>
        </w:rPr>
        <w:t>光线充足，照明良好，保障电源的稳定，并提供备用电源</w:t>
      </w:r>
      <w:r>
        <w:rPr>
          <w:rFonts w:ascii="仿宋" w:hAnsi="仿宋" w:eastAsia="仿宋" w:cs="仿宋"/>
          <w:spacing w:val="4"/>
          <w:sz w:val="31"/>
          <w:szCs w:val="31"/>
        </w:rPr>
        <w:t>。须设立紧急疏散通道，医疗服</w:t>
      </w:r>
      <w:r>
        <w:rPr>
          <w:rFonts w:ascii="仿宋" w:hAnsi="仿宋" w:eastAsia="仿宋" w:cs="仿宋"/>
          <w:spacing w:val="-4"/>
          <w:sz w:val="31"/>
          <w:szCs w:val="31"/>
        </w:rPr>
        <w:t>务站。</w:t>
      </w:r>
    </w:p>
    <w:p w14:paraId="054469AA">
      <w:pPr>
        <w:spacing w:before="333" w:line="281" w:lineRule="auto"/>
        <w:ind w:left="12" w:firstLine="636"/>
        <w:rPr>
          <w:rFonts w:hint="eastAsia" w:ascii="仿宋" w:hAnsi="仿宋" w:eastAsia="仿宋" w:cs="仿宋"/>
          <w:spacing w:val="4"/>
          <w:sz w:val="31"/>
          <w:szCs w:val="31"/>
          <w:lang w:val="en-US" w:eastAsia="zh-CN"/>
        </w:rPr>
      </w:pPr>
      <w:r>
        <w:rPr>
          <w:rFonts w:ascii="仿宋" w:hAnsi="仿宋" w:eastAsia="仿宋" w:cs="仿宋"/>
          <w:spacing w:val="4"/>
          <w:sz w:val="31"/>
          <w:szCs w:val="31"/>
        </w:rPr>
        <w:t>（二）</w:t>
      </w:r>
      <w:r>
        <w:rPr>
          <w:rFonts w:hint="eastAsia" w:ascii="仿宋" w:hAnsi="仿宋" w:eastAsia="仿宋" w:cs="仿宋"/>
          <w:spacing w:val="4"/>
          <w:sz w:val="31"/>
          <w:szCs w:val="31"/>
          <w:lang w:val="en-US" w:eastAsia="zh-CN"/>
        </w:rPr>
        <w:t>竞赛场地设置警戒线，非现场裁判员、参赛选手以及工作人员不得进入竞赛场地；竞赛场地划分为检录区、竞赛操作区、休息区等区域，区域之间设有明显标志或警示带。</w:t>
      </w:r>
    </w:p>
    <w:p w14:paraId="2185592F">
      <w:pPr>
        <w:spacing w:before="333" w:line="281" w:lineRule="auto"/>
        <w:ind w:left="12" w:firstLine="636"/>
        <w:rPr>
          <w:rFonts w:ascii="仿宋" w:hAnsi="仿宋" w:eastAsia="仿宋" w:cs="仿宋"/>
          <w:spacing w:val="4"/>
          <w:sz w:val="31"/>
          <w:szCs w:val="31"/>
        </w:rPr>
      </w:pP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三</w:t>
      </w:r>
      <w:r>
        <w:rPr>
          <w:rFonts w:hint="eastAsia" w:ascii="仿宋" w:hAnsi="仿宋" w:eastAsia="仿宋" w:cs="仿宋"/>
          <w:spacing w:val="4"/>
          <w:sz w:val="31"/>
          <w:szCs w:val="31"/>
          <w:lang w:eastAsia="zh-CN"/>
        </w:rPr>
        <w:t>）</w:t>
      </w:r>
      <w:r>
        <w:rPr>
          <w:rFonts w:ascii="仿宋" w:hAnsi="仿宋" w:eastAsia="仿宋" w:cs="仿宋"/>
          <w:spacing w:val="4"/>
          <w:sz w:val="31"/>
          <w:szCs w:val="31"/>
        </w:rPr>
        <w:t>比赛场地可容纳</w:t>
      </w:r>
      <w:r>
        <w:rPr>
          <w:rFonts w:hint="eastAsia" w:ascii="仿宋" w:hAnsi="仿宋" w:eastAsia="仿宋" w:cs="仿宋"/>
          <w:spacing w:val="4"/>
          <w:sz w:val="31"/>
          <w:szCs w:val="31"/>
          <w:lang w:eastAsia="zh-CN"/>
        </w:rPr>
        <w:t>至少一</w:t>
      </w:r>
      <w:r>
        <w:rPr>
          <w:rFonts w:ascii="仿宋" w:hAnsi="仿宋" w:eastAsia="仿宋" w:cs="仿宋"/>
          <w:spacing w:val="4"/>
          <w:sz w:val="31"/>
          <w:szCs w:val="31"/>
        </w:rPr>
        <w:t>组队同时比赛，且配备满足赛项比赛所需的设施。</w:t>
      </w:r>
    </w:p>
    <w:p w14:paraId="689C93D7">
      <w:pPr>
        <w:spacing w:before="333" w:line="281" w:lineRule="auto"/>
        <w:ind w:left="12" w:firstLine="636"/>
        <w:rPr>
          <w:rFonts w:hint="eastAsia" w:ascii="仿宋" w:hAnsi="仿宋" w:eastAsia="仿宋" w:cs="仿宋"/>
          <w:spacing w:val="4"/>
          <w:sz w:val="31"/>
          <w:szCs w:val="31"/>
          <w:lang w:val="en-US" w:eastAsia="zh-CN"/>
        </w:rPr>
      </w:pPr>
      <w:r>
        <w:rPr>
          <w:rFonts w:ascii="仿宋" w:hAnsi="仿宋" w:eastAsia="仿宋" w:cs="仿宋"/>
          <w:spacing w:val="4"/>
          <w:sz w:val="31"/>
          <w:szCs w:val="31"/>
        </w:rPr>
        <w:t>（</w:t>
      </w:r>
      <w:r>
        <w:rPr>
          <w:rFonts w:hint="eastAsia" w:ascii="仿宋" w:hAnsi="仿宋" w:eastAsia="仿宋" w:cs="仿宋"/>
          <w:spacing w:val="4"/>
          <w:sz w:val="31"/>
          <w:szCs w:val="31"/>
          <w:lang w:val="en-US" w:eastAsia="zh-CN"/>
        </w:rPr>
        <w:t>四</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赛场有志愿服务人员、配备医护人员，同时有治安员维护比赛现场秩序与卫生。</w:t>
      </w:r>
    </w:p>
    <w:p w14:paraId="6499E290">
      <w:pPr>
        <w:spacing w:before="333" w:line="228" w:lineRule="auto"/>
        <w:ind w:left="645"/>
        <w:outlineLvl w:val="0"/>
        <w:rPr>
          <w:rFonts w:ascii="黑体" w:hAnsi="黑体" w:eastAsia="黑体" w:cs="黑体"/>
          <w:sz w:val="31"/>
          <w:szCs w:val="31"/>
        </w:rPr>
      </w:pPr>
      <w:r>
        <w:rPr>
          <w:rFonts w:ascii="黑体" w:hAnsi="黑体" w:eastAsia="黑体" w:cs="黑体"/>
          <w:spacing w:val="6"/>
          <w:sz w:val="31"/>
          <w:szCs w:val="31"/>
        </w:rPr>
        <w:t>六、技术规范</w:t>
      </w:r>
    </w:p>
    <w:p w14:paraId="4AB172D4">
      <w:pPr>
        <w:spacing w:before="335" w:line="317" w:lineRule="auto"/>
        <w:ind w:left="3" w:right="2" w:firstLine="637"/>
        <w:rPr>
          <w:rFonts w:hint="eastAsia" w:ascii="仿宋" w:hAnsi="仿宋" w:eastAsia="仿宋" w:cs="仿宋"/>
          <w:sz w:val="31"/>
          <w:szCs w:val="31"/>
          <w:lang w:eastAsia="zh-CN"/>
        </w:rPr>
      </w:pPr>
      <w:r>
        <w:rPr>
          <w:rFonts w:ascii="仿宋" w:hAnsi="仿宋" w:eastAsia="仿宋" w:cs="仿宋"/>
          <w:spacing w:val="5"/>
          <w:sz w:val="31"/>
          <w:szCs w:val="31"/>
        </w:rPr>
        <w:t>《</w:t>
      </w:r>
      <w:r>
        <w:rPr>
          <w:rFonts w:hint="eastAsia" w:ascii="仿宋" w:hAnsi="仿宋" w:eastAsia="仿宋" w:cs="仿宋"/>
          <w:spacing w:val="5"/>
          <w:sz w:val="31"/>
          <w:szCs w:val="31"/>
          <w:lang w:val="en-US" w:eastAsia="zh-CN"/>
        </w:rPr>
        <w:t>物联网应用与服务</w:t>
      </w:r>
      <w:r>
        <w:rPr>
          <w:rFonts w:ascii="仿宋" w:hAnsi="仿宋" w:eastAsia="仿宋" w:cs="仿宋"/>
          <w:spacing w:val="5"/>
          <w:sz w:val="31"/>
          <w:szCs w:val="31"/>
        </w:rPr>
        <w:t>》赛项是以教育部颁布的</w:t>
      </w:r>
      <w:r>
        <w:rPr>
          <w:rFonts w:ascii="仿宋" w:hAnsi="仿宋" w:eastAsia="仿宋" w:cs="仿宋"/>
          <w:spacing w:val="4"/>
          <w:sz w:val="31"/>
          <w:szCs w:val="31"/>
        </w:rPr>
        <w:t>职业学校相关专</w:t>
      </w:r>
      <w:r>
        <w:rPr>
          <w:rFonts w:ascii="仿宋" w:hAnsi="仿宋" w:eastAsia="仿宋" w:cs="仿宋"/>
          <w:spacing w:val="8"/>
          <w:sz w:val="31"/>
          <w:szCs w:val="31"/>
        </w:rPr>
        <w:t>业教学指导方案和国家职业标准规定的技能要求为标准。</w:t>
      </w:r>
      <w:r>
        <w:rPr>
          <w:rFonts w:hint="eastAsia" w:ascii="仿宋" w:hAnsi="仿宋" w:eastAsia="仿宋" w:cs="仿宋"/>
          <w:spacing w:val="5"/>
          <w:sz w:val="31"/>
          <w:szCs w:val="31"/>
          <w:lang w:val="en-US" w:eastAsia="zh-CN"/>
        </w:rPr>
        <w:t>参考物联网行业相关标准，如《物联网术语》（GB/T33745-2017）、《物联网标识体系物品编码Ecode》（GB/T37045-2018）等，确保竞赛内容符合行业规范。</w:t>
      </w:r>
    </w:p>
    <w:p w14:paraId="56BA45E3">
      <w:pPr>
        <w:spacing w:before="209" w:line="228" w:lineRule="auto"/>
        <w:ind w:left="634"/>
        <w:outlineLvl w:val="0"/>
        <w:rPr>
          <w:rFonts w:ascii="黑体" w:hAnsi="黑体" w:eastAsia="黑体" w:cs="黑体"/>
          <w:sz w:val="31"/>
          <w:szCs w:val="31"/>
        </w:rPr>
      </w:pPr>
      <w:r>
        <w:rPr>
          <w:rFonts w:ascii="黑体" w:hAnsi="黑体" w:eastAsia="黑体" w:cs="黑体"/>
          <w:spacing w:val="8"/>
          <w:sz w:val="31"/>
          <w:szCs w:val="31"/>
        </w:rPr>
        <w:t>七、技术平台</w:t>
      </w:r>
    </w:p>
    <w:p w14:paraId="17E94FED">
      <w:pPr>
        <w:keepNext w:val="0"/>
        <w:keepLines w:val="0"/>
        <w:pageBreakBefore w:val="0"/>
        <w:widowControl/>
        <w:suppressLineNumbers w:val="0"/>
        <w:kinsoku/>
        <w:wordWrap/>
        <w:overflowPunct/>
        <w:topLinePunct w:val="0"/>
        <w:autoSpaceDE/>
        <w:autoSpaceDN/>
        <w:bidi w:val="0"/>
        <w:adjustRightInd/>
        <w:snapToGrid/>
        <w:spacing w:line="560" w:lineRule="exact"/>
        <w:ind w:firstLine="636" w:firstLineChars="200"/>
        <w:jc w:val="left"/>
        <w:textAlignment w:val="auto"/>
        <w:rPr>
          <w:rFonts w:hint="eastAsia" w:ascii="仿宋" w:hAnsi="仿宋" w:eastAsia="仿宋" w:cs="仿宋"/>
          <w:color w:val="000000"/>
          <w:kern w:val="0"/>
          <w:sz w:val="32"/>
          <w:szCs w:val="32"/>
          <w:lang w:val="en-US" w:eastAsia="zh-CN" w:bidi="ar"/>
        </w:rPr>
      </w:pPr>
      <w:r>
        <w:rPr>
          <w:rFonts w:ascii="仿宋" w:hAnsi="仿宋" w:eastAsia="仿宋" w:cs="仿宋"/>
          <w:spacing w:val="4"/>
          <w:sz w:val="31"/>
          <w:szCs w:val="31"/>
        </w:rPr>
        <w:t>本项目竞赛设备和材料不做统一要求，承办学校为参赛队提</w:t>
      </w:r>
      <w:r>
        <w:rPr>
          <w:rFonts w:ascii="仿宋" w:hAnsi="仿宋" w:eastAsia="仿宋" w:cs="仿宋"/>
          <w:spacing w:val="6"/>
          <w:sz w:val="31"/>
          <w:szCs w:val="31"/>
        </w:rPr>
        <w:t>供本校现有可用于比赛的设备和材料清单（见</w:t>
      </w:r>
      <w:r>
        <w:rPr>
          <w:rFonts w:hint="eastAsia" w:ascii="仿宋" w:hAnsi="仿宋" w:eastAsia="仿宋" w:cs="仿宋"/>
          <w:spacing w:val="6"/>
          <w:sz w:val="31"/>
          <w:szCs w:val="31"/>
          <w:lang w:val="en-US" w:eastAsia="zh-CN"/>
        </w:rPr>
        <w:t>表一</w:t>
      </w:r>
      <w:r>
        <w:rPr>
          <w:rFonts w:ascii="仿宋" w:hAnsi="仿宋" w:eastAsia="仿宋" w:cs="仿宋"/>
          <w:spacing w:val="10"/>
          <w:sz w:val="31"/>
          <w:szCs w:val="31"/>
        </w:rPr>
        <w:t>），</w:t>
      </w:r>
      <w:r>
        <w:rPr>
          <w:rFonts w:ascii="仿宋" w:hAnsi="仿宋" w:eastAsia="仿宋" w:cs="仿宋"/>
          <w:spacing w:val="6"/>
          <w:sz w:val="31"/>
          <w:szCs w:val="31"/>
        </w:rPr>
        <w:t>供参赛队</w:t>
      </w:r>
      <w:r>
        <w:rPr>
          <w:rFonts w:ascii="仿宋" w:hAnsi="仿宋" w:eastAsia="仿宋" w:cs="仿宋"/>
          <w:spacing w:val="5"/>
          <w:sz w:val="31"/>
          <w:szCs w:val="31"/>
        </w:rPr>
        <w:t>自愿选择使用。</w:t>
      </w:r>
      <w:r>
        <w:rPr>
          <w:rFonts w:hint="eastAsia" w:ascii="仿宋" w:hAnsi="仿宋" w:eastAsia="仿宋" w:cs="仿宋"/>
          <w:color w:val="000000"/>
          <w:kern w:val="0"/>
          <w:sz w:val="32"/>
          <w:szCs w:val="32"/>
          <w:lang w:val="en-US" w:eastAsia="zh-CN" w:bidi="ar"/>
        </w:rPr>
        <w:t>参赛所需设备和材料不做统一要求，如自带设备及材料，须在比赛日前三天将自带设备及材料清单确认书打包发至</w:t>
      </w:r>
      <w:r>
        <w:rPr>
          <w:rFonts w:hint="eastAsia" w:ascii="仿宋" w:hAnsi="仿宋" w:eastAsia="仿宋" w:cs="仿宋"/>
          <w:b/>
          <w:bCs/>
          <w:color w:val="000000"/>
          <w:kern w:val="0"/>
          <w:sz w:val="32"/>
          <w:szCs w:val="32"/>
          <w:lang w:val="en-US" w:eastAsia="zh-CN" w:bidi="ar"/>
        </w:rPr>
        <w:t>252473374@qq.com</w:t>
      </w:r>
      <w:r>
        <w:rPr>
          <w:rFonts w:hint="eastAsia" w:ascii="仿宋" w:hAnsi="仿宋" w:eastAsia="仿宋" w:cs="仿宋"/>
          <w:color w:val="000000"/>
          <w:kern w:val="0"/>
          <w:sz w:val="32"/>
          <w:szCs w:val="32"/>
          <w:lang w:val="en-US" w:eastAsia="zh-CN" w:bidi="ar"/>
        </w:rPr>
        <w:t>邮箱，经裁判及承办学校审核确认可行后进场，现场设备技术保障谁提供谁负责。</w:t>
      </w:r>
      <w:bookmarkStart w:id="0" w:name="_GoBack"/>
      <w:bookmarkEnd w:id="0"/>
    </w:p>
    <w:p w14:paraId="116BC0E2">
      <w:pPr>
        <w:pStyle w:val="2"/>
        <w:rPr>
          <w:rFonts w:hint="default"/>
          <w:lang w:val="en-US" w:eastAsia="zh-CN"/>
        </w:rPr>
      </w:pPr>
    </w:p>
    <w:p w14:paraId="25013B4C">
      <w:pPr>
        <w:pStyle w:val="5"/>
        <w:spacing w:after="0" w:afterAutospacing="0"/>
        <w:jc w:val="center"/>
        <w:rPr>
          <w:rFonts w:hint="eastAsia" w:ascii="仿宋" w:hAnsi="仿宋" w:eastAsia="仿宋"/>
          <w:b/>
          <w:bCs/>
          <w:sz w:val="32"/>
          <w:szCs w:val="32"/>
        </w:rPr>
      </w:pPr>
      <w:r>
        <w:rPr>
          <w:rFonts w:hint="eastAsia" w:ascii="仿宋" w:hAnsi="仿宋" w:eastAsia="仿宋"/>
          <w:b/>
          <w:bCs/>
          <w:sz w:val="32"/>
          <w:szCs w:val="32"/>
          <w:lang w:val="en-US" w:eastAsia="zh-CN"/>
        </w:rPr>
        <w:t>表一赛点学校</w:t>
      </w:r>
      <w:r>
        <w:rPr>
          <w:rFonts w:hint="eastAsia" w:ascii="仿宋" w:hAnsi="仿宋" w:eastAsia="仿宋"/>
          <w:b/>
          <w:bCs/>
          <w:sz w:val="32"/>
          <w:szCs w:val="32"/>
        </w:rPr>
        <w:t>提供的设备和场地信息清单</w:t>
      </w:r>
    </w:p>
    <w:p w14:paraId="15F86108">
      <w:pPr>
        <w:bidi w:val="0"/>
        <w:rPr>
          <w:rFonts w:hint="eastAsia"/>
        </w:rPr>
      </w:pPr>
    </w:p>
    <w:tbl>
      <w:tblPr>
        <w:tblStyle w:val="7"/>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332"/>
        <w:gridCol w:w="925"/>
        <w:gridCol w:w="951"/>
        <w:gridCol w:w="3366"/>
        <w:gridCol w:w="1110"/>
        <w:gridCol w:w="780"/>
        <w:gridCol w:w="690"/>
      </w:tblGrid>
      <w:tr w14:paraId="23F1C7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5" w:hRule="atLeast"/>
          <w:jc w:val="center"/>
        </w:trPr>
        <w:tc>
          <w:tcPr>
            <w:tcW w:w="728" w:type="pct"/>
            <w:tcBorders>
              <w:tl2br w:val="nil"/>
              <w:tr2bl w:val="nil"/>
            </w:tcBorders>
            <w:shd w:val="clear" w:color="auto" w:fill="FFFFFF"/>
            <w:noWrap w:val="0"/>
            <w:vAlign w:val="bottom"/>
          </w:tcPr>
          <w:p w14:paraId="237159EA">
            <w:pPr>
              <w:widowControl w:val="0"/>
              <w:spacing w:line="360" w:lineRule="auto"/>
              <w:jc w:val="center"/>
              <w:rPr>
                <w:rFonts w:hint="eastAsia"/>
                <w:b w:val="0"/>
              </w:rPr>
            </w:pPr>
            <w:r>
              <w:rPr>
                <w:rFonts w:hint="eastAsia" w:ascii="仿宋" w:hAnsi="仿宋" w:eastAsia="仿宋" w:cs="仿宋"/>
                <w:b w:val="0"/>
                <w:bCs/>
                <w:sz w:val="21"/>
                <w:szCs w:val="21"/>
                <w:lang w:val="en-US" w:eastAsia="zh-CN"/>
              </w:rPr>
              <w:t>赛点</w:t>
            </w:r>
            <w:r>
              <w:rPr>
                <w:rFonts w:hint="eastAsia" w:ascii="仿宋" w:hAnsi="仿宋" w:eastAsia="仿宋" w:cs="仿宋"/>
                <w:b w:val="0"/>
                <w:bCs/>
                <w:sz w:val="21"/>
                <w:szCs w:val="21"/>
              </w:rPr>
              <w:t>学校</w:t>
            </w:r>
          </w:p>
        </w:tc>
        <w:tc>
          <w:tcPr>
            <w:tcW w:w="4271" w:type="pct"/>
            <w:gridSpan w:val="6"/>
            <w:tcBorders>
              <w:tl2br w:val="nil"/>
              <w:tr2bl w:val="nil"/>
            </w:tcBorders>
            <w:shd w:val="clear" w:color="auto" w:fill="FFFFFF"/>
            <w:noWrap w:val="0"/>
            <w:vAlign w:val="bottom"/>
          </w:tcPr>
          <w:p w14:paraId="73E7D434">
            <w:pPr>
              <w:widowControl w:val="0"/>
              <w:spacing w:line="360" w:lineRule="auto"/>
              <w:jc w:val="center"/>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陕西省渭南工业学校</w:t>
            </w:r>
          </w:p>
        </w:tc>
      </w:tr>
      <w:tr w14:paraId="67C028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tcBorders>
              <w:tl2br w:val="nil"/>
              <w:tr2bl w:val="nil"/>
            </w:tcBorders>
            <w:shd w:val="clear" w:color="auto" w:fill="FFFFFF"/>
            <w:noWrap w:val="0"/>
            <w:vAlign w:val="center"/>
          </w:tcPr>
          <w:p w14:paraId="554E4D8B">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组别</w:t>
            </w:r>
          </w:p>
          <w:p w14:paraId="7001D4B1">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（中/高职）</w:t>
            </w:r>
          </w:p>
        </w:tc>
        <w:tc>
          <w:tcPr>
            <w:tcW w:w="505" w:type="pct"/>
            <w:tcBorders>
              <w:tl2br w:val="nil"/>
              <w:tr2bl w:val="nil"/>
            </w:tcBorders>
            <w:shd w:val="clear" w:color="auto" w:fill="FFFFFF"/>
            <w:noWrap w:val="0"/>
            <w:vAlign w:val="center"/>
          </w:tcPr>
          <w:p w14:paraId="4FCBC689">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rPr>
              <w:t>中职</w:t>
            </w:r>
          </w:p>
        </w:tc>
        <w:tc>
          <w:tcPr>
            <w:tcW w:w="519" w:type="pct"/>
            <w:tcBorders>
              <w:tl2br w:val="nil"/>
              <w:tr2bl w:val="nil"/>
            </w:tcBorders>
            <w:shd w:val="clear" w:color="auto" w:fill="FFFFFF"/>
            <w:noWrap w:val="0"/>
            <w:vAlign w:val="center"/>
          </w:tcPr>
          <w:p w14:paraId="162B135F">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赛道</w:t>
            </w:r>
          </w:p>
        </w:tc>
        <w:tc>
          <w:tcPr>
            <w:tcW w:w="1838" w:type="pct"/>
            <w:tcBorders>
              <w:tl2br w:val="nil"/>
              <w:tr2bl w:val="nil"/>
            </w:tcBorders>
            <w:shd w:val="clear" w:color="auto" w:fill="FFFFFF"/>
            <w:noWrap w:val="0"/>
            <w:vAlign w:val="center"/>
          </w:tcPr>
          <w:p w14:paraId="74C404D4">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rPr>
              <w:t>电子与信息赛道</w:t>
            </w:r>
          </w:p>
        </w:tc>
        <w:tc>
          <w:tcPr>
            <w:tcW w:w="606" w:type="pct"/>
            <w:tcBorders>
              <w:tl2br w:val="nil"/>
              <w:tr2bl w:val="nil"/>
            </w:tcBorders>
            <w:shd w:val="clear" w:color="auto" w:fill="FFFFFF"/>
            <w:noWrap w:val="0"/>
            <w:vAlign w:val="center"/>
          </w:tcPr>
          <w:p w14:paraId="66F7111A">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小组</w:t>
            </w:r>
          </w:p>
          <w:p w14:paraId="74FE5A76">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（赛项）</w:t>
            </w:r>
          </w:p>
        </w:tc>
        <w:tc>
          <w:tcPr>
            <w:tcW w:w="801" w:type="pct"/>
            <w:gridSpan w:val="2"/>
            <w:tcBorders>
              <w:tl2br w:val="nil"/>
              <w:tr2bl w:val="nil"/>
            </w:tcBorders>
            <w:shd w:val="clear" w:color="auto" w:fill="FFFFFF"/>
            <w:noWrap w:val="0"/>
            <w:vAlign w:val="center"/>
          </w:tcPr>
          <w:p w14:paraId="6B6998C5">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lang w:val="en-US" w:eastAsia="zh-CN"/>
              </w:rPr>
              <w:t>物联网应用与服务</w:t>
            </w:r>
          </w:p>
        </w:tc>
      </w:tr>
      <w:tr w14:paraId="216C7D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tcBorders>
              <w:tl2br w:val="nil"/>
              <w:tr2bl w:val="nil"/>
            </w:tcBorders>
            <w:shd w:val="clear" w:color="auto" w:fill="FFFFFF"/>
            <w:noWrap w:val="0"/>
            <w:vAlign w:val="center"/>
          </w:tcPr>
          <w:p w14:paraId="03C9B56E">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类别</w:t>
            </w:r>
          </w:p>
        </w:tc>
        <w:tc>
          <w:tcPr>
            <w:tcW w:w="505" w:type="pct"/>
            <w:tcBorders>
              <w:tl2br w:val="nil"/>
              <w:tr2bl w:val="nil"/>
            </w:tcBorders>
            <w:shd w:val="clear" w:color="auto" w:fill="FFFFFF"/>
            <w:noWrap w:val="0"/>
            <w:vAlign w:val="center"/>
          </w:tcPr>
          <w:p w14:paraId="025536A8">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名称</w:t>
            </w:r>
          </w:p>
        </w:tc>
        <w:tc>
          <w:tcPr>
            <w:tcW w:w="519" w:type="pct"/>
            <w:tcBorders>
              <w:tl2br w:val="nil"/>
              <w:tr2bl w:val="nil"/>
            </w:tcBorders>
            <w:shd w:val="clear" w:color="auto" w:fill="FFFFFF"/>
            <w:noWrap w:val="0"/>
            <w:vAlign w:val="center"/>
          </w:tcPr>
          <w:p w14:paraId="75171DFE">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型号</w:t>
            </w:r>
          </w:p>
        </w:tc>
        <w:tc>
          <w:tcPr>
            <w:tcW w:w="1838" w:type="pct"/>
            <w:tcBorders>
              <w:tl2br w:val="nil"/>
              <w:tr2bl w:val="nil"/>
            </w:tcBorders>
            <w:shd w:val="clear" w:color="auto" w:fill="FFFFFF"/>
            <w:noWrap w:val="0"/>
            <w:vAlign w:val="center"/>
          </w:tcPr>
          <w:p w14:paraId="00CC4FF8">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主要技术参数</w:t>
            </w:r>
          </w:p>
        </w:tc>
        <w:tc>
          <w:tcPr>
            <w:tcW w:w="606" w:type="pct"/>
            <w:tcBorders>
              <w:tl2br w:val="nil"/>
              <w:tr2bl w:val="nil"/>
            </w:tcBorders>
            <w:shd w:val="clear" w:color="auto" w:fill="FFFFFF"/>
            <w:noWrap w:val="0"/>
            <w:vAlign w:val="center"/>
          </w:tcPr>
          <w:p w14:paraId="145ED29C">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台套数</w:t>
            </w:r>
          </w:p>
        </w:tc>
        <w:tc>
          <w:tcPr>
            <w:tcW w:w="426" w:type="pct"/>
            <w:tcBorders>
              <w:tl2br w:val="nil"/>
              <w:tr2bl w:val="nil"/>
            </w:tcBorders>
            <w:shd w:val="clear" w:color="auto" w:fill="FFFFFF"/>
            <w:noWrap w:val="0"/>
            <w:vAlign w:val="center"/>
          </w:tcPr>
          <w:p w14:paraId="3F61034A">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设备厂商</w:t>
            </w:r>
          </w:p>
        </w:tc>
        <w:tc>
          <w:tcPr>
            <w:tcW w:w="375" w:type="pct"/>
            <w:tcBorders>
              <w:tl2br w:val="nil"/>
              <w:tr2bl w:val="nil"/>
            </w:tcBorders>
            <w:shd w:val="clear" w:color="auto" w:fill="FFFFFF"/>
            <w:noWrap w:val="0"/>
            <w:vAlign w:val="center"/>
          </w:tcPr>
          <w:p w14:paraId="5B02340A">
            <w:pPr>
              <w:widowControl w:val="0"/>
              <w:spacing w:line="36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备注</w:t>
            </w:r>
          </w:p>
        </w:tc>
      </w:tr>
      <w:tr w14:paraId="6C529D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restart"/>
            <w:tcBorders>
              <w:tl2br w:val="nil"/>
              <w:tr2bl w:val="nil"/>
            </w:tcBorders>
            <w:shd w:val="clear" w:color="auto" w:fill="FFFFFF"/>
            <w:noWrap w:val="0"/>
            <w:vAlign w:val="center"/>
          </w:tcPr>
          <w:p w14:paraId="6D7BB968">
            <w:pPr>
              <w:widowControl w:val="0"/>
              <w:jc w:val="center"/>
              <w:rPr>
                <w:rFonts w:hint="eastAsia" w:ascii="仿宋" w:hAnsi="仿宋" w:eastAsia="仿宋" w:cs="仿宋"/>
                <w:b w:val="0"/>
                <w:sz w:val="21"/>
                <w:szCs w:val="21"/>
              </w:rPr>
            </w:pPr>
            <w:r>
              <w:rPr>
                <w:rFonts w:hint="eastAsia" w:ascii="仿宋" w:hAnsi="仿宋" w:eastAsia="仿宋" w:cs="仿宋"/>
                <w:b w:val="0"/>
                <w:sz w:val="21"/>
                <w:szCs w:val="21"/>
              </w:rPr>
              <w:t>硬件</w:t>
            </w:r>
          </w:p>
        </w:tc>
        <w:tc>
          <w:tcPr>
            <w:tcW w:w="505" w:type="pct"/>
            <w:tcBorders>
              <w:tl2br w:val="nil"/>
              <w:tr2bl w:val="nil"/>
            </w:tcBorders>
            <w:shd w:val="clear" w:color="auto" w:fill="FFFFFF"/>
            <w:noWrap w:val="0"/>
            <w:vAlign w:val="center"/>
          </w:tcPr>
          <w:p w14:paraId="47E55196">
            <w:pPr>
              <w:widowControl w:val="0"/>
              <w:spacing w:line="360" w:lineRule="auto"/>
              <w:jc w:val="center"/>
              <w:rPr>
                <w:rFonts w:hint="eastAsia" w:ascii="仿宋" w:hAnsi="仿宋" w:eastAsia="仿宋" w:cs="仿宋"/>
                <w:b w:val="0"/>
                <w:color w:val="000000"/>
                <w:sz w:val="21"/>
                <w:szCs w:val="21"/>
                <w:highlight w:val="none"/>
              </w:rPr>
            </w:pPr>
            <w:r>
              <w:rPr>
                <w:rFonts w:hint="eastAsia" w:ascii="仿宋" w:hAnsi="仿宋" w:eastAsia="仿宋" w:cs="仿宋"/>
                <w:b w:val="0"/>
                <w:color w:val="000000"/>
                <w:sz w:val="21"/>
                <w:szCs w:val="21"/>
                <w:highlight w:val="none"/>
              </w:rPr>
              <w:t>台式计算机</w:t>
            </w:r>
          </w:p>
        </w:tc>
        <w:tc>
          <w:tcPr>
            <w:tcW w:w="519" w:type="pct"/>
            <w:tcBorders>
              <w:tl2br w:val="nil"/>
              <w:tr2bl w:val="nil"/>
            </w:tcBorders>
            <w:shd w:val="clear" w:color="auto" w:fill="FFFFFF"/>
            <w:noWrap w:val="0"/>
            <w:vAlign w:val="center"/>
          </w:tcPr>
          <w:p w14:paraId="5BBD46AF">
            <w:pPr>
              <w:widowControl w:val="0"/>
              <w:spacing w:line="360" w:lineRule="auto"/>
              <w:jc w:val="center"/>
              <w:rPr>
                <w:rFonts w:hint="eastAsia" w:ascii="仿宋" w:hAnsi="仿宋" w:eastAsia="仿宋" w:cs="仿宋"/>
                <w:b w:val="0"/>
                <w:sz w:val="21"/>
                <w:szCs w:val="21"/>
                <w:highlight w:val="none"/>
                <w:lang w:val="en-US" w:eastAsia="zh-CN"/>
              </w:rPr>
            </w:pPr>
          </w:p>
        </w:tc>
        <w:tc>
          <w:tcPr>
            <w:tcW w:w="1838" w:type="pct"/>
            <w:tcBorders>
              <w:tl2br w:val="nil"/>
              <w:tr2bl w:val="nil"/>
            </w:tcBorders>
            <w:shd w:val="clear" w:color="auto" w:fill="FFFFFF"/>
            <w:noWrap w:val="0"/>
            <w:vAlign w:val="center"/>
          </w:tcPr>
          <w:p w14:paraId="2803FF72">
            <w:pPr>
              <w:widowControl w:val="0"/>
              <w:spacing w:line="36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操作系统：Windows10（64位）</w:t>
            </w:r>
          </w:p>
          <w:p w14:paraId="30D67C92">
            <w:pPr>
              <w:widowControl w:val="0"/>
              <w:spacing w:line="36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处理器：i5以上处理器</w:t>
            </w:r>
          </w:p>
          <w:p w14:paraId="0A9296EB">
            <w:pPr>
              <w:widowControl w:val="0"/>
              <w:spacing w:line="360" w:lineRule="auto"/>
              <w:jc w:val="left"/>
              <w:rPr>
                <w:rFonts w:hint="eastAsia"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rPr>
              <w:t>内存：</w:t>
            </w:r>
            <w:r>
              <w:rPr>
                <w:rFonts w:hint="eastAsia" w:ascii="仿宋" w:hAnsi="仿宋" w:eastAsia="仿宋" w:cs="仿宋"/>
                <w:b w:val="0"/>
                <w:sz w:val="21"/>
                <w:szCs w:val="21"/>
                <w:highlight w:val="none"/>
                <w:lang w:val="en-US" w:eastAsia="zh-CN"/>
              </w:rPr>
              <w:t>8GB</w:t>
            </w:r>
          </w:p>
          <w:p w14:paraId="5821458A">
            <w:pPr>
              <w:widowControl w:val="0"/>
              <w:spacing w:line="36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硬盘：256GB</w:t>
            </w:r>
          </w:p>
          <w:p w14:paraId="73B3AF9B">
            <w:pPr>
              <w:widowControl w:val="0"/>
              <w:spacing w:line="360" w:lineRule="auto"/>
              <w:jc w:val="left"/>
              <w:rPr>
                <w:rFonts w:hint="eastAsia"/>
                <w:b w:val="0"/>
              </w:rPr>
            </w:pPr>
            <w:r>
              <w:rPr>
                <w:rFonts w:hint="eastAsia" w:ascii="仿宋" w:hAnsi="仿宋" w:eastAsia="仿宋" w:cs="仿宋"/>
                <w:b w:val="0"/>
                <w:sz w:val="21"/>
                <w:szCs w:val="21"/>
                <w:highlight w:val="none"/>
              </w:rPr>
              <w:t>显示器：</w:t>
            </w:r>
            <w:r>
              <w:rPr>
                <w:rFonts w:hint="eastAsia" w:ascii="仿宋" w:hAnsi="仿宋" w:eastAsia="仿宋" w:cs="仿宋"/>
                <w:b w:val="0"/>
                <w:sz w:val="21"/>
                <w:szCs w:val="21"/>
                <w:highlight w:val="none"/>
                <w:lang w:val="en-US" w:eastAsia="zh-CN"/>
              </w:rPr>
              <w:t>21</w:t>
            </w:r>
            <w:r>
              <w:rPr>
                <w:rFonts w:hint="eastAsia" w:ascii="仿宋" w:hAnsi="仿宋" w:eastAsia="仿宋" w:cs="仿宋"/>
                <w:b w:val="0"/>
                <w:sz w:val="21"/>
                <w:szCs w:val="21"/>
                <w:highlight w:val="none"/>
              </w:rPr>
              <w:t>英寸及以上</w:t>
            </w:r>
          </w:p>
        </w:tc>
        <w:tc>
          <w:tcPr>
            <w:tcW w:w="606" w:type="pct"/>
            <w:tcBorders>
              <w:tl2br w:val="nil"/>
              <w:tr2bl w:val="nil"/>
            </w:tcBorders>
            <w:shd w:val="clear" w:color="auto" w:fill="FFFFFF"/>
            <w:noWrap w:val="0"/>
            <w:vAlign w:val="center"/>
          </w:tcPr>
          <w:p w14:paraId="3C75DB17">
            <w:pPr>
              <w:widowControl w:val="0"/>
              <w:spacing w:line="360" w:lineRule="auto"/>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4台</w:t>
            </w:r>
          </w:p>
        </w:tc>
        <w:tc>
          <w:tcPr>
            <w:tcW w:w="426" w:type="pct"/>
            <w:tcBorders>
              <w:tl2br w:val="nil"/>
              <w:tr2bl w:val="nil"/>
            </w:tcBorders>
            <w:shd w:val="clear" w:color="auto" w:fill="FFFFFF"/>
            <w:noWrap w:val="0"/>
            <w:vAlign w:val="center"/>
          </w:tcPr>
          <w:p w14:paraId="79B706AD">
            <w:pPr>
              <w:keepNext w:val="0"/>
              <w:keepLines w:val="0"/>
              <w:widowControl/>
              <w:suppressLineNumbers w:val="0"/>
              <w:jc w:val="left"/>
              <w:rPr>
                <w:rFonts w:hint="eastAsia" w:ascii="仿宋" w:hAnsi="仿宋" w:eastAsia="仿宋" w:cs="仿宋"/>
                <w:b w:val="0"/>
                <w:bCs w:val="0"/>
                <w:color w:val="000000"/>
                <w:kern w:val="0"/>
                <w:sz w:val="21"/>
                <w:szCs w:val="21"/>
                <w:highlight w:val="none"/>
                <w:vertAlign w:val="baseline"/>
                <w:lang w:val="en-US" w:eastAsia="zh-CN" w:bidi="ar"/>
              </w:rPr>
            </w:pPr>
          </w:p>
        </w:tc>
        <w:tc>
          <w:tcPr>
            <w:tcW w:w="375" w:type="pct"/>
            <w:tcBorders>
              <w:tl2br w:val="nil"/>
              <w:tr2bl w:val="nil"/>
            </w:tcBorders>
            <w:shd w:val="clear" w:color="auto" w:fill="FFFFFF"/>
            <w:noWrap w:val="0"/>
            <w:vAlign w:val="center"/>
          </w:tcPr>
          <w:p w14:paraId="4E1BAA9F">
            <w:pPr>
              <w:widowControl w:val="0"/>
              <w:jc w:val="center"/>
              <w:rPr>
                <w:rFonts w:hint="eastAsia" w:ascii="仿宋" w:hAnsi="仿宋" w:eastAsia="仿宋" w:cs="仿宋"/>
                <w:b w:val="0"/>
                <w:sz w:val="21"/>
                <w:szCs w:val="21"/>
              </w:rPr>
            </w:pPr>
          </w:p>
        </w:tc>
      </w:tr>
      <w:tr w14:paraId="5080E4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continue"/>
            <w:tcBorders>
              <w:tl2br w:val="nil"/>
              <w:tr2bl w:val="nil"/>
            </w:tcBorders>
            <w:shd w:val="clear" w:color="auto" w:fill="FFFFFF"/>
            <w:noWrap w:val="0"/>
            <w:vAlign w:val="center"/>
          </w:tcPr>
          <w:p w14:paraId="24D51204">
            <w:pPr>
              <w:widowControl w:val="0"/>
              <w:jc w:val="center"/>
              <w:rPr>
                <w:rFonts w:hint="eastAsia" w:ascii="仿宋" w:hAnsi="仿宋" w:eastAsia="仿宋" w:cs="仿宋"/>
                <w:b w:val="0"/>
                <w:sz w:val="21"/>
                <w:szCs w:val="21"/>
              </w:rPr>
            </w:pPr>
          </w:p>
        </w:tc>
        <w:tc>
          <w:tcPr>
            <w:tcW w:w="505" w:type="pct"/>
            <w:tcBorders>
              <w:tl2br w:val="nil"/>
              <w:tr2bl w:val="nil"/>
            </w:tcBorders>
            <w:shd w:val="clear" w:color="auto" w:fill="FFFFFF"/>
            <w:noWrap w:val="0"/>
            <w:vAlign w:val="center"/>
          </w:tcPr>
          <w:p w14:paraId="11CF13B1">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rPr>
              <w:t>物联网全栈智能应用实训系统</w:t>
            </w:r>
          </w:p>
        </w:tc>
        <w:tc>
          <w:tcPr>
            <w:tcW w:w="519" w:type="pct"/>
            <w:tcBorders>
              <w:tl2br w:val="nil"/>
              <w:tr2bl w:val="nil"/>
            </w:tcBorders>
            <w:shd w:val="clear" w:color="auto" w:fill="FFFFFF"/>
            <w:noWrap w:val="0"/>
            <w:vAlign w:val="center"/>
          </w:tcPr>
          <w:p w14:paraId="0658307E">
            <w:pPr>
              <w:widowControl w:val="0"/>
              <w:spacing w:line="360" w:lineRule="auto"/>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rPr>
              <w:t>NLE-ENC1200</w:t>
            </w:r>
          </w:p>
        </w:tc>
        <w:tc>
          <w:tcPr>
            <w:tcW w:w="1838" w:type="pct"/>
            <w:tcBorders>
              <w:tl2br w:val="nil"/>
              <w:tr2bl w:val="nil"/>
            </w:tcBorders>
            <w:shd w:val="clear" w:color="auto" w:fill="FFFFFF"/>
            <w:noWrap w:val="0"/>
            <w:vAlign w:val="center"/>
          </w:tcPr>
          <w:p w14:paraId="67A894A2">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lang w:val="en-US" w:eastAsia="zh-CN"/>
              </w:rPr>
              <w:t>1.</w:t>
            </w:r>
            <w:r>
              <w:rPr>
                <w:rFonts w:hint="eastAsia" w:ascii="仿宋" w:hAnsi="仿宋" w:eastAsia="仿宋" w:cs="仿宋"/>
                <w:b w:val="0"/>
                <w:sz w:val="21"/>
                <w:szCs w:val="21"/>
              </w:rPr>
              <w:t>物联网</w:t>
            </w:r>
            <w:r>
              <w:rPr>
                <w:rFonts w:hint="eastAsia" w:ascii="仿宋" w:hAnsi="仿宋" w:eastAsia="仿宋" w:cs="仿宋"/>
                <w:b w:val="0"/>
                <w:sz w:val="21"/>
                <w:szCs w:val="21"/>
                <w:lang w:val="en-US" w:eastAsia="zh-CN"/>
              </w:rPr>
              <w:t>应用</w:t>
            </w:r>
            <w:r>
              <w:rPr>
                <w:rFonts w:hint="eastAsia" w:ascii="仿宋" w:hAnsi="仿宋" w:eastAsia="仿宋" w:cs="仿宋"/>
                <w:b w:val="0"/>
                <w:sz w:val="21"/>
                <w:szCs w:val="21"/>
              </w:rPr>
              <w:t>实训工位</w:t>
            </w:r>
          </w:p>
          <w:p w14:paraId="27EE4BB4">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2.</w:t>
            </w:r>
            <w:r>
              <w:rPr>
                <w:rFonts w:hint="eastAsia" w:ascii="仿宋" w:hAnsi="仿宋" w:eastAsia="仿宋" w:cs="仿宋"/>
                <w:b w:val="0"/>
                <w:sz w:val="21"/>
                <w:szCs w:val="21"/>
              </w:rPr>
              <w:t>物联网全栈智能应用实训套件</w:t>
            </w:r>
          </w:p>
        </w:tc>
        <w:tc>
          <w:tcPr>
            <w:tcW w:w="606" w:type="pct"/>
            <w:tcBorders>
              <w:tl2br w:val="nil"/>
              <w:tr2bl w:val="nil"/>
            </w:tcBorders>
            <w:shd w:val="clear" w:color="auto" w:fill="FFFFFF"/>
            <w:noWrap w:val="0"/>
            <w:vAlign w:val="center"/>
          </w:tcPr>
          <w:p w14:paraId="1237B072">
            <w:pPr>
              <w:widowControl w:val="0"/>
              <w:spacing w:line="360" w:lineRule="auto"/>
              <w:jc w:val="center"/>
              <w:rPr>
                <w:rFonts w:hint="eastAsia" w:ascii="仿宋" w:hAnsi="仿宋" w:eastAsia="仿宋" w:cs="仿宋"/>
                <w:b w:val="0"/>
                <w:sz w:val="21"/>
                <w:szCs w:val="21"/>
                <w:lang w:val="en-US"/>
              </w:rPr>
            </w:pPr>
            <w:r>
              <w:rPr>
                <w:rFonts w:hint="eastAsia" w:ascii="仿宋" w:hAnsi="仿宋" w:eastAsia="仿宋" w:cs="仿宋"/>
                <w:b w:val="0"/>
                <w:sz w:val="21"/>
                <w:szCs w:val="21"/>
                <w:lang w:val="en-US" w:eastAsia="zh-CN"/>
              </w:rPr>
              <w:t>1套</w:t>
            </w:r>
          </w:p>
        </w:tc>
        <w:tc>
          <w:tcPr>
            <w:tcW w:w="426" w:type="pct"/>
            <w:tcBorders>
              <w:tl2br w:val="nil"/>
              <w:tr2bl w:val="nil"/>
            </w:tcBorders>
            <w:shd w:val="clear" w:color="auto" w:fill="FFFFFF"/>
            <w:noWrap w:val="0"/>
            <w:vAlign w:val="center"/>
          </w:tcPr>
          <w:p w14:paraId="5CB5B90D">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北京新大陆时代科技有限公司</w:t>
            </w:r>
          </w:p>
        </w:tc>
        <w:tc>
          <w:tcPr>
            <w:tcW w:w="375" w:type="pct"/>
            <w:tcBorders>
              <w:tl2br w:val="nil"/>
              <w:tr2bl w:val="nil"/>
            </w:tcBorders>
            <w:shd w:val="clear" w:color="auto" w:fill="FFFFFF"/>
            <w:noWrap w:val="0"/>
            <w:vAlign w:val="center"/>
          </w:tcPr>
          <w:p w14:paraId="7EE73621">
            <w:pPr>
              <w:widowControl w:val="0"/>
              <w:jc w:val="center"/>
              <w:rPr>
                <w:rFonts w:hint="eastAsia" w:ascii="仿宋" w:hAnsi="仿宋" w:eastAsia="仿宋" w:cs="仿宋"/>
                <w:b w:val="0"/>
                <w:sz w:val="21"/>
                <w:szCs w:val="21"/>
              </w:rPr>
            </w:pPr>
          </w:p>
        </w:tc>
      </w:tr>
      <w:tr w14:paraId="229309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continue"/>
            <w:tcBorders>
              <w:tl2br w:val="nil"/>
              <w:tr2bl w:val="nil"/>
            </w:tcBorders>
            <w:shd w:val="clear" w:color="auto" w:fill="FFFFFF"/>
            <w:noWrap w:val="0"/>
            <w:vAlign w:val="center"/>
          </w:tcPr>
          <w:p w14:paraId="63676C9E">
            <w:pPr>
              <w:widowControl w:val="0"/>
              <w:jc w:val="center"/>
              <w:rPr>
                <w:rFonts w:hint="eastAsia" w:ascii="仿宋" w:hAnsi="仿宋" w:eastAsia="仿宋" w:cs="仿宋"/>
                <w:b w:val="0"/>
                <w:sz w:val="21"/>
                <w:szCs w:val="21"/>
              </w:rPr>
            </w:pPr>
          </w:p>
        </w:tc>
        <w:tc>
          <w:tcPr>
            <w:tcW w:w="505" w:type="pct"/>
            <w:tcBorders>
              <w:tl2br w:val="nil"/>
              <w:tr2bl w:val="nil"/>
            </w:tcBorders>
            <w:shd w:val="clear" w:color="auto" w:fill="FFFFFF"/>
            <w:noWrap w:val="0"/>
            <w:vAlign w:val="center"/>
          </w:tcPr>
          <w:p w14:paraId="07F9C0DD">
            <w:pPr>
              <w:widowControl w:val="0"/>
              <w:spacing w:line="360" w:lineRule="auto"/>
              <w:jc w:val="left"/>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液晶电视</w:t>
            </w:r>
          </w:p>
        </w:tc>
        <w:tc>
          <w:tcPr>
            <w:tcW w:w="519" w:type="pct"/>
            <w:tcBorders>
              <w:tl2br w:val="nil"/>
              <w:tr2bl w:val="nil"/>
            </w:tcBorders>
            <w:shd w:val="clear" w:color="auto" w:fill="FFFFFF"/>
            <w:noWrap w:val="0"/>
            <w:vAlign w:val="center"/>
          </w:tcPr>
          <w:p w14:paraId="67DCDF62">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TCL</w:t>
            </w:r>
          </w:p>
          <w:p w14:paraId="23592EF2">
            <w:pPr>
              <w:widowControl w:val="0"/>
              <w:spacing w:line="360" w:lineRule="auto"/>
              <w:jc w:val="left"/>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75V2平板电视</w:t>
            </w:r>
          </w:p>
        </w:tc>
        <w:tc>
          <w:tcPr>
            <w:tcW w:w="1838" w:type="pct"/>
            <w:tcBorders>
              <w:tl2br w:val="nil"/>
              <w:tr2bl w:val="nil"/>
            </w:tcBorders>
            <w:shd w:val="clear" w:color="auto" w:fill="FFFFFF"/>
            <w:noWrap w:val="0"/>
            <w:vAlign w:val="top"/>
          </w:tcPr>
          <w:p w14:paraId="5320D73C">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电视机功能：Android智能电视</w:t>
            </w:r>
          </w:p>
          <w:p w14:paraId="3F18DB1E">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TV、AV及数字HDMI，支持SDTV、HDTV、UHDTV(480i/480p576i/576p、720p、1080i/1080p3840x2160)</w:t>
            </w:r>
          </w:p>
          <w:p w14:paraId="5A8CC752">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视频支持VC1/H.264/H.265/MPEG4/WMV/AVS+等格式</w:t>
            </w:r>
          </w:p>
          <w:p w14:paraId="68039899">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音频支持WMA/AC3/EAC3/AAC等格式</w:t>
            </w:r>
          </w:p>
          <w:p w14:paraId="2F53965C">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图片支持JPEG/BMP/PNG等格式</w:t>
            </w:r>
          </w:p>
          <w:p w14:paraId="1C817E75">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支持USB接口的鼠标和键盘等外部设备</w:t>
            </w:r>
          </w:p>
        </w:tc>
        <w:tc>
          <w:tcPr>
            <w:tcW w:w="606" w:type="pct"/>
            <w:tcBorders>
              <w:tl2br w:val="nil"/>
              <w:tr2bl w:val="nil"/>
            </w:tcBorders>
            <w:shd w:val="clear" w:color="auto" w:fill="FFFFFF"/>
            <w:noWrap w:val="0"/>
            <w:vAlign w:val="center"/>
          </w:tcPr>
          <w:p w14:paraId="4E1E2D11">
            <w:pPr>
              <w:widowControl w:val="0"/>
              <w:spacing w:line="360" w:lineRule="auto"/>
              <w:jc w:val="center"/>
              <w:rPr>
                <w:rFonts w:hint="eastAsia" w:ascii="宋体" w:hAnsi="宋体" w:eastAsia="宋体" w:cs="Times New Roman"/>
                <w:b w:val="0"/>
                <w:kern w:val="2"/>
                <w:sz w:val="18"/>
                <w:szCs w:val="18"/>
                <w:lang w:val="en-US" w:eastAsia="zh-CN" w:bidi="ar-SA"/>
              </w:rPr>
            </w:pPr>
            <w:r>
              <w:rPr>
                <w:rFonts w:hint="eastAsia" w:ascii="仿宋" w:hAnsi="仿宋" w:eastAsia="仿宋" w:cs="仿宋"/>
                <w:b w:val="0"/>
                <w:sz w:val="21"/>
                <w:szCs w:val="21"/>
                <w:lang w:val="en-US" w:eastAsia="zh-CN"/>
              </w:rPr>
              <w:t>1台</w:t>
            </w:r>
          </w:p>
        </w:tc>
        <w:tc>
          <w:tcPr>
            <w:tcW w:w="426" w:type="pct"/>
            <w:tcBorders>
              <w:tl2br w:val="nil"/>
              <w:tr2bl w:val="nil"/>
            </w:tcBorders>
            <w:shd w:val="clear" w:color="auto" w:fill="FFFFFF"/>
            <w:noWrap w:val="0"/>
            <w:vAlign w:val="center"/>
          </w:tcPr>
          <w:p w14:paraId="7F94817B">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p>
        </w:tc>
        <w:tc>
          <w:tcPr>
            <w:tcW w:w="375" w:type="pct"/>
            <w:tcBorders>
              <w:tl2br w:val="nil"/>
              <w:tr2bl w:val="nil"/>
            </w:tcBorders>
            <w:shd w:val="clear" w:color="auto" w:fill="FFFFFF"/>
            <w:noWrap w:val="0"/>
            <w:vAlign w:val="center"/>
          </w:tcPr>
          <w:p w14:paraId="0BD02A44">
            <w:pPr>
              <w:widowControl w:val="0"/>
              <w:jc w:val="center"/>
              <w:rPr>
                <w:rFonts w:hint="eastAsia" w:ascii="仿宋" w:hAnsi="仿宋" w:eastAsia="仿宋" w:cs="仿宋"/>
                <w:b w:val="0"/>
                <w:sz w:val="21"/>
                <w:szCs w:val="21"/>
              </w:rPr>
            </w:pPr>
          </w:p>
        </w:tc>
      </w:tr>
      <w:tr w14:paraId="5CA44B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restart"/>
            <w:tcBorders>
              <w:tl2br w:val="nil"/>
              <w:tr2bl w:val="nil"/>
            </w:tcBorders>
            <w:shd w:val="clear" w:color="auto" w:fill="FFFFFF"/>
            <w:noWrap w:val="0"/>
            <w:vAlign w:val="center"/>
          </w:tcPr>
          <w:p w14:paraId="7FF80F22">
            <w:pPr>
              <w:widowControl w:val="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软件</w:t>
            </w:r>
          </w:p>
        </w:tc>
        <w:tc>
          <w:tcPr>
            <w:tcW w:w="505" w:type="pct"/>
            <w:tcBorders>
              <w:tl2br w:val="nil"/>
              <w:tr2bl w:val="nil"/>
            </w:tcBorders>
            <w:shd w:val="clear" w:color="auto" w:fill="FFFFFF"/>
            <w:noWrap w:val="0"/>
            <w:vAlign w:val="center"/>
          </w:tcPr>
          <w:p w14:paraId="420DA043">
            <w:pPr>
              <w:widowControl w:val="0"/>
              <w:spacing w:line="360" w:lineRule="auto"/>
              <w:jc w:val="center"/>
              <w:rPr>
                <w:rFonts w:hint="default" w:ascii="仿宋" w:hAnsi="仿宋" w:eastAsia="仿宋" w:cs="仿宋"/>
                <w:b w:val="0"/>
                <w:sz w:val="21"/>
                <w:szCs w:val="21"/>
                <w:lang w:val="en-US"/>
              </w:rPr>
            </w:pPr>
            <w:r>
              <w:rPr>
                <w:rFonts w:hint="eastAsia" w:ascii="仿宋" w:hAnsi="仿宋" w:eastAsia="仿宋" w:cs="仿宋"/>
                <w:b w:val="0"/>
                <w:sz w:val="21"/>
                <w:szCs w:val="21"/>
                <w:lang w:val="en-US" w:eastAsia="zh-CN"/>
              </w:rPr>
              <w:t>AIOT在线工程实训平台V1.0</w:t>
            </w:r>
          </w:p>
        </w:tc>
        <w:tc>
          <w:tcPr>
            <w:tcW w:w="519" w:type="pct"/>
            <w:tcBorders>
              <w:tl2br w:val="nil"/>
              <w:tr2bl w:val="nil"/>
            </w:tcBorders>
            <w:shd w:val="clear" w:color="auto" w:fill="FFFFFF"/>
            <w:noWrap w:val="0"/>
            <w:vAlign w:val="center"/>
          </w:tcPr>
          <w:p w14:paraId="31008F72">
            <w:pPr>
              <w:widowControl w:val="0"/>
              <w:spacing w:line="360" w:lineRule="auto"/>
              <w:jc w:val="both"/>
              <w:rPr>
                <w:rFonts w:hint="default" w:ascii="仿宋" w:hAnsi="仿宋" w:eastAsia="仿宋" w:cs="仿宋"/>
                <w:b w:val="0"/>
                <w:sz w:val="21"/>
                <w:szCs w:val="21"/>
                <w:lang w:val="en-US" w:eastAsia="zh-CN"/>
              </w:rPr>
            </w:pPr>
          </w:p>
        </w:tc>
        <w:tc>
          <w:tcPr>
            <w:tcW w:w="1838" w:type="pct"/>
            <w:tcBorders>
              <w:tl2br w:val="nil"/>
              <w:tr2bl w:val="nil"/>
            </w:tcBorders>
            <w:shd w:val="clear" w:color="auto" w:fill="FFFFFF"/>
            <w:noWrap w:val="0"/>
            <w:vAlign w:val="center"/>
          </w:tcPr>
          <w:p w14:paraId="583A9EA8">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一、平台功能</w:t>
            </w:r>
          </w:p>
          <w:p w14:paraId="6E892AA8">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1.AloT工程管理功能</w:t>
            </w:r>
            <w:r>
              <w:rPr>
                <w:rFonts w:hint="eastAsia" w:ascii="仿宋" w:hAnsi="仿宋" w:eastAsia="仿宋" w:cs="仿宋"/>
                <w:b w:val="0"/>
                <w:sz w:val="21"/>
                <w:szCs w:val="21"/>
                <w:lang w:eastAsia="zh-CN"/>
              </w:rPr>
              <w:t>：</w:t>
            </w:r>
            <w:r>
              <w:rPr>
                <w:rFonts w:hint="eastAsia" w:ascii="仿宋" w:hAnsi="仿宋" w:eastAsia="仿宋" w:cs="仿宋"/>
                <w:b w:val="0"/>
                <w:sz w:val="21"/>
                <w:szCs w:val="21"/>
              </w:rPr>
              <w:t>采用B/S架构，具有即时即地即登录的轻便型项目系统环境，能够监控项目环节关键节点，提高项目效率。</w:t>
            </w:r>
          </w:p>
          <w:p w14:paraId="675BE54E">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2.物联网工程仿真功能</w:t>
            </w:r>
            <w:r>
              <w:rPr>
                <w:rFonts w:hint="eastAsia" w:ascii="仿宋" w:hAnsi="仿宋" w:eastAsia="仿宋" w:cs="仿宋"/>
                <w:b w:val="0"/>
                <w:sz w:val="21"/>
                <w:szCs w:val="21"/>
                <w:lang w:eastAsia="zh-CN"/>
              </w:rPr>
              <w:t>：</w:t>
            </w:r>
            <w:r>
              <w:rPr>
                <w:rFonts w:hint="eastAsia" w:ascii="仿宋" w:hAnsi="仿宋" w:eastAsia="仿宋" w:cs="仿宋"/>
                <w:b w:val="0"/>
                <w:sz w:val="21"/>
                <w:szCs w:val="21"/>
              </w:rPr>
              <w:t>通过拖拉布局、虚拟连线、配置仿真设备参数等操作对物联网行业设备进行安装、调试、维护、开发，仿真设备包含：有线传感器、无线传感器、执行器、网关、I/O模块、RFID、终端、</w:t>
            </w:r>
            <w:r>
              <w:rPr>
                <w:rFonts w:hint="eastAsia" w:ascii="仿宋" w:hAnsi="仿宋" w:eastAsia="仿宋" w:cs="仿宋"/>
                <w:b w:val="0"/>
                <w:sz w:val="21"/>
                <w:szCs w:val="21"/>
                <w:lang w:eastAsia="zh-CN"/>
              </w:rPr>
              <w:t>其他外设</w:t>
            </w:r>
            <w:r>
              <w:rPr>
                <w:rFonts w:hint="eastAsia" w:ascii="仿宋" w:hAnsi="仿宋" w:eastAsia="仿宋" w:cs="仿宋"/>
                <w:b w:val="0"/>
                <w:sz w:val="21"/>
                <w:szCs w:val="21"/>
              </w:rPr>
              <w:t>等。</w:t>
            </w:r>
          </w:p>
          <w:p w14:paraId="5C4126C4">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3.技术组件部署应用功能</w:t>
            </w:r>
          </w:p>
          <w:p w14:paraId="2B90BD47">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支持ThingsBoard、ChirpStack.HomeAssistant.Node-RED、VSCode、Docker、Grafana.InfluxDB、JEECG、EdgeX、Jupyter,TensorFlow.WeBASE、Kubernetes、Rule-Engine、Gazebo.SpringCloud、Renode、MySQL.Hadoop、Remix等常见的物联网、人工智能、区块链组件的部署应用。</w:t>
            </w:r>
          </w:p>
          <w:p w14:paraId="12A6DD99">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4.物联网平台接入功能</w:t>
            </w:r>
            <w:r>
              <w:rPr>
                <w:rFonts w:hint="eastAsia" w:ascii="仿宋" w:hAnsi="仿宋" w:eastAsia="仿宋" w:cs="仿宋"/>
                <w:b w:val="0"/>
                <w:sz w:val="21"/>
                <w:szCs w:val="21"/>
                <w:lang w:eastAsia="zh-CN"/>
              </w:rPr>
              <w:t>：</w:t>
            </w:r>
            <w:r>
              <w:rPr>
                <w:rFonts w:hint="eastAsia" w:ascii="仿宋" w:hAnsi="仿宋" w:eastAsia="仿宋" w:cs="仿宋"/>
                <w:b w:val="0"/>
                <w:sz w:val="21"/>
                <w:szCs w:val="21"/>
              </w:rPr>
              <w:t>实现设备连接、设备管理和数据可视化展示。提供基于流式编程的规则链功解，实现物联网项目数据分析处理。</w:t>
            </w:r>
          </w:p>
          <w:p w14:paraId="673496C0">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5.物联网工程案例资源配</w:t>
            </w:r>
            <w:r>
              <w:rPr>
                <w:rFonts w:hint="eastAsia" w:ascii="仿宋" w:hAnsi="仿宋" w:eastAsia="仿宋" w:cs="仿宋"/>
                <w:b w:val="0"/>
                <w:sz w:val="21"/>
                <w:szCs w:val="21"/>
                <w:lang w:eastAsia="zh-CN"/>
              </w:rPr>
              <w:t>：</w:t>
            </w:r>
            <w:r>
              <w:rPr>
                <w:rFonts w:hint="eastAsia" w:ascii="仿宋" w:hAnsi="仿宋" w:eastAsia="仿宋" w:cs="仿宋"/>
                <w:b w:val="0"/>
                <w:sz w:val="21"/>
                <w:szCs w:val="21"/>
              </w:rPr>
              <w:t>通过物联网工程仿真实施及真实设备接入、物联网系统软件部署、物联网应用设计及智能服务模块开发等工作完成项目。</w:t>
            </w:r>
          </w:p>
        </w:tc>
        <w:tc>
          <w:tcPr>
            <w:tcW w:w="606" w:type="pct"/>
            <w:tcBorders>
              <w:tl2br w:val="nil"/>
              <w:tr2bl w:val="nil"/>
            </w:tcBorders>
            <w:shd w:val="clear" w:color="auto" w:fill="FFFFFF"/>
            <w:noWrap w:val="0"/>
            <w:vAlign w:val="center"/>
          </w:tcPr>
          <w:p w14:paraId="1E58EB00">
            <w:pPr>
              <w:widowControl w:val="0"/>
              <w:spacing w:line="360" w:lineRule="auto"/>
              <w:jc w:val="center"/>
              <w:rPr>
                <w:rFonts w:hint="eastAsia" w:ascii="仿宋" w:hAnsi="仿宋" w:eastAsia="仿宋" w:cs="仿宋"/>
                <w:b w:val="0"/>
                <w:sz w:val="21"/>
                <w:szCs w:val="21"/>
                <w:lang w:val="en-US" w:eastAsia="zh-CN"/>
              </w:rPr>
            </w:pPr>
          </w:p>
        </w:tc>
        <w:tc>
          <w:tcPr>
            <w:tcW w:w="426" w:type="pct"/>
            <w:tcBorders>
              <w:tl2br w:val="nil"/>
              <w:tr2bl w:val="nil"/>
            </w:tcBorders>
            <w:shd w:val="clear" w:color="auto" w:fill="FFFFFF"/>
            <w:noWrap w:val="0"/>
            <w:vAlign w:val="center"/>
          </w:tcPr>
          <w:p w14:paraId="704DCB33">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p>
        </w:tc>
        <w:tc>
          <w:tcPr>
            <w:tcW w:w="375" w:type="pct"/>
            <w:tcBorders>
              <w:tl2br w:val="nil"/>
              <w:tr2bl w:val="nil"/>
            </w:tcBorders>
            <w:shd w:val="clear" w:color="auto" w:fill="FFFFFF"/>
            <w:noWrap w:val="0"/>
            <w:vAlign w:val="center"/>
          </w:tcPr>
          <w:p w14:paraId="4C862233">
            <w:pPr>
              <w:widowControl w:val="0"/>
              <w:jc w:val="center"/>
              <w:rPr>
                <w:rFonts w:hint="eastAsia" w:ascii="仿宋" w:hAnsi="仿宋" w:eastAsia="仿宋" w:cs="仿宋"/>
                <w:b w:val="0"/>
                <w:sz w:val="21"/>
                <w:szCs w:val="21"/>
              </w:rPr>
            </w:pPr>
          </w:p>
        </w:tc>
      </w:tr>
      <w:tr w14:paraId="7144AC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continue"/>
            <w:tcBorders>
              <w:tl2br w:val="nil"/>
              <w:tr2bl w:val="nil"/>
            </w:tcBorders>
            <w:shd w:val="clear" w:color="auto" w:fill="FFFFFF"/>
            <w:noWrap w:val="0"/>
            <w:vAlign w:val="center"/>
          </w:tcPr>
          <w:p w14:paraId="1AAF0CDA">
            <w:pPr>
              <w:widowControl w:val="0"/>
              <w:jc w:val="center"/>
              <w:rPr>
                <w:rFonts w:hint="eastAsia" w:ascii="仿宋" w:hAnsi="仿宋" w:eastAsia="仿宋" w:cs="仿宋"/>
                <w:b w:val="0"/>
                <w:sz w:val="21"/>
                <w:szCs w:val="21"/>
                <w:lang w:val="en-US" w:eastAsia="zh-CN"/>
              </w:rPr>
            </w:pPr>
          </w:p>
        </w:tc>
        <w:tc>
          <w:tcPr>
            <w:tcW w:w="505" w:type="pct"/>
            <w:tcBorders>
              <w:tl2br w:val="nil"/>
              <w:tr2bl w:val="nil"/>
            </w:tcBorders>
            <w:shd w:val="clear" w:color="auto" w:fill="FFFFFF"/>
            <w:noWrap w:val="0"/>
            <w:vAlign w:val="center"/>
          </w:tcPr>
          <w:p w14:paraId="45D08E0B">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lang w:val="en-US" w:eastAsia="zh-CN"/>
              </w:rPr>
              <w:t>新大陆物联网云服务平台V1.0</w:t>
            </w:r>
          </w:p>
        </w:tc>
        <w:tc>
          <w:tcPr>
            <w:tcW w:w="519" w:type="pct"/>
            <w:tcBorders>
              <w:tl2br w:val="nil"/>
              <w:tr2bl w:val="nil"/>
            </w:tcBorders>
            <w:shd w:val="clear" w:color="auto" w:fill="FFFFFF"/>
            <w:noWrap w:val="0"/>
            <w:vAlign w:val="center"/>
          </w:tcPr>
          <w:p w14:paraId="6A3E46DD">
            <w:pPr>
              <w:widowControl w:val="0"/>
              <w:spacing w:line="360" w:lineRule="auto"/>
              <w:jc w:val="center"/>
              <w:rPr>
                <w:rFonts w:hint="eastAsia" w:ascii="仿宋" w:hAnsi="仿宋" w:eastAsia="仿宋" w:cs="仿宋"/>
                <w:b w:val="0"/>
                <w:sz w:val="21"/>
                <w:szCs w:val="21"/>
              </w:rPr>
            </w:pPr>
          </w:p>
        </w:tc>
        <w:tc>
          <w:tcPr>
            <w:tcW w:w="1838" w:type="pct"/>
            <w:tcBorders>
              <w:tl2br w:val="nil"/>
              <w:tr2bl w:val="nil"/>
            </w:tcBorders>
            <w:shd w:val="clear" w:color="auto" w:fill="FFFFFF"/>
            <w:noWrap w:val="0"/>
            <w:vAlign w:val="center"/>
          </w:tcPr>
          <w:p w14:paraId="2F23239C">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1.实现家居情景模式设定管理，灯光照明系统智能控制，家庭环境智能控制，智能化安防报警等功能；</w:t>
            </w:r>
          </w:p>
          <w:p w14:paraId="77F3F1AF">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2.可在广域网中通过PC、移动智能终端、智能网关等设备登录此云平台：</w:t>
            </w:r>
          </w:p>
          <w:p w14:paraId="17EAF933">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3.具备项目管理功能，提供定制化的项目中心集中管理；</w:t>
            </w:r>
          </w:p>
          <w:p w14:paraId="7886E58F">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4.支持物联网SAAS项目的新建并支持授权API的自动生成功能；</w:t>
            </w:r>
          </w:p>
          <w:p w14:paraId="45BA0815">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5.支持物联网云网关的配置，支持云网关的设备管理、编辑等功能；</w:t>
            </w:r>
          </w:p>
          <w:p w14:paraId="3F700738">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6.云平台与物联网项目云网关之间的心跳轮询时间可在3</w:t>
            </w:r>
            <w:r>
              <w:rPr>
                <w:rFonts w:hint="eastAsia" w:ascii="仿宋" w:hAnsi="仿宋" w:eastAsia="仿宋" w:cs="仿宋"/>
                <w:b w:val="0"/>
                <w:sz w:val="21"/>
                <w:szCs w:val="21"/>
                <w:lang w:eastAsia="zh-CN"/>
              </w:rPr>
              <w:t>—</w:t>
            </w:r>
            <w:r>
              <w:rPr>
                <w:rFonts w:hint="eastAsia" w:ascii="仿宋" w:hAnsi="仿宋" w:eastAsia="仿宋" w:cs="仿宋"/>
                <w:b w:val="0"/>
                <w:sz w:val="21"/>
                <w:szCs w:val="21"/>
              </w:rPr>
              <w:t>15S之间灵活设置；</w:t>
            </w:r>
          </w:p>
          <w:p w14:paraId="27A17735">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7.兼容行业中常见的物联网功能节点，至少支持数字量Modbus、模拟量Modbus及Zigbee无线传</w:t>
            </w:r>
          </w:p>
          <w:p w14:paraId="5484C9A5">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输类型的节点管理；</w:t>
            </w:r>
          </w:p>
          <w:p w14:paraId="35B471AC">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8.支持多种传感器节点，支持温度、湿度、水温、二氧化碳、光照、风速、大气压力、空气质量、可</w:t>
            </w:r>
          </w:p>
          <w:p w14:paraId="0F8BEAE8">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燃气体、火焰、红外对射传感器等；</w:t>
            </w:r>
          </w:p>
          <w:p w14:paraId="0584F8D6">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9.支持物联网节点的状态查询并按需控制。</w:t>
            </w:r>
          </w:p>
        </w:tc>
        <w:tc>
          <w:tcPr>
            <w:tcW w:w="606" w:type="pct"/>
            <w:tcBorders>
              <w:tl2br w:val="nil"/>
              <w:tr2bl w:val="nil"/>
            </w:tcBorders>
            <w:shd w:val="clear" w:color="auto" w:fill="FFFFFF"/>
            <w:noWrap w:val="0"/>
            <w:vAlign w:val="center"/>
          </w:tcPr>
          <w:p w14:paraId="465C0CE3">
            <w:pPr>
              <w:widowControl w:val="0"/>
              <w:spacing w:line="360" w:lineRule="auto"/>
              <w:jc w:val="center"/>
              <w:rPr>
                <w:rFonts w:hint="eastAsia" w:ascii="仿宋" w:hAnsi="仿宋" w:eastAsia="仿宋" w:cs="仿宋"/>
                <w:b w:val="0"/>
                <w:sz w:val="21"/>
                <w:szCs w:val="21"/>
                <w:lang w:val="en-US" w:eastAsia="zh-CN"/>
              </w:rPr>
            </w:pPr>
          </w:p>
        </w:tc>
        <w:tc>
          <w:tcPr>
            <w:tcW w:w="426" w:type="pct"/>
            <w:tcBorders>
              <w:tl2br w:val="nil"/>
              <w:tr2bl w:val="nil"/>
            </w:tcBorders>
            <w:shd w:val="clear" w:color="auto" w:fill="FFFFFF"/>
            <w:noWrap w:val="0"/>
            <w:vAlign w:val="center"/>
          </w:tcPr>
          <w:p w14:paraId="00F162E3">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p>
        </w:tc>
        <w:tc>
          <w:tcPr>
            <w:tcW w:w="375" w:type="pct"/>
            <w:tcBorders>
              <w:tl2br w:val="nil"/>
              <w:tr2bl w:val="nil"/>
            </w:tcBorders>
            <w:shd w:val="clear" w:color="auto" w:fill="FFFFFF"/>
            <w:noWrap w:val="0"/>
            <w:vAlign w:val="center"/>
          </w:tcPr>
          <w:p w14:paraId="4EB343CD">
            <w:pPr>
              <w:widowControl w:val="0"/>
              <w:jc w:val="center"/>
              <w:rPr>
                <w:rFonts w:hint="eastAsia" w:ascii="仿宋" w:hAnsi="仿宋" w:eastAsia="仿宋" w:cs="仿宋"/>
                <w:b w:val="0"/>
                <w:sz w:val="21"/>
                <w:szCs w:val="21"/>
              </w:rPr>
            </w:pPr>
          </w:p>
        </w:tc>
      </w:tr>
      <w:tr w14:paraId="079B13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continue"/>
            <w:tcBorders>
              <w:tl2br w:val="nil"/>
              <w:tr2bl w:val="nil"/>
            </w:tcBorders>
            <w:shd w:val="clear" w:color="auto" w:fill="FFFFFF"/>
            <w:noWrap w:val="0"/>
            <w:vAlign w:val="center"/>
          </w:tcPr>
          <w:p w14:paraId="3B81DF93">
            <w:pPr>
              <w:widowControl w:val="0"/>
              <w:jc w:val="center"/>
              <w:rPr>
                <w:rFonts w:hint="eastAsia" w:ascii="仿宋" w:hAnsi="仿宋" w:eastAsia="仿宋" w:cs="仿宋"/>
                <w:b w:val="0"/>
                <w:sz w:val="21"/>
                <w:szCs w:val="21"/>
                <w:lang w:val="en-US" w:eastAsia="zh-CN"/>
              </w:rPr>
            </w:pPr>
          </w:p>
        </w:tc>
        <w:tc>
          <w:tcPr>
            <w:tcW w:w="505" w:type="pct"/>
            <w:tcBorders>
              <w:tl2br w:val="nil"/>
              <w:tr2bl w:val="nil"/>
            </w:tcBorders>
            <w:shd w:val="clear" w:color="auto" w:fill="FFFFFF"/>
            <w:noWrap w:val="0"/>
            <w:vAlign w:val="center"/>
          </w:tcPr>
          <w:p w14:paraId="78D2BFB5">
            <w:pPr>
              <w:widowControl w:val="0"/>
              <w:spacing w:line="360" w:lineRule="auto"/>
              <w:jc w:val="center"/>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新大陆行业云平台V1.0</w:t>
            </w:r>
          </w:p>
        </w:tc>
        <w:tc>
          <w:tcPr>
            <w:tcW w:w="519" w:type="pct"/>
            <w:tcBorders>
              <w:tl2br w:val="nil"/>
              <w:tr2bl w:val="nil"/>
            </w:tcBorders>
            <w:shd w:val="clear" w:color="auto" w:fill="FFFFFF"/>
            <w:noWrap w:val="0"/>
            <w:vAlign w:val="center"/>
          </w:tcPr>
          <w:p w14:paraId="7EB99A7D">
            <w:pPr>
              <w:widowControl w:val="0"/>
              <w:spacing w:line="360" w:lineRule="auto"/>
              <w:jc w:val="center"/>
              <w:rPr>
                <w:rFonts w:hint="eastAsia" w:ascii="仿宋" w:hAnsi="仿宋" w:eastAsia="仿宋" w:cs="仿宋"/>
                <w:b w:val="0"/>
                <w:sz w:val="21"/>
                <w:szCs w:val="21"/>
              </w:rPr>
            </w:pPr>
          </w:p>
        </w:tc>
        <w:tc>
          <w:tcPr>
            <w:tcW w:w="1838" w:type="pct"/>
            <w:tcBorders>
              <w:tl2br w:val="nil"/>
              <w:tr2bl w:val="nil"/>
            </w:tcBorders>
            <w:shd w:val="clear" w:color="auto" w:fill="FFFFFF"/>
            <w:noWrap w:val="0"/>
            <w:vAlign w:val="center"/>
          </w:tcPr>
          <w:p w14:paraId="5D6952A7">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（一）平台总体功能</w:t>
            </w:r>
            <w:r>
              <w:rPr>
                <w:rFonts w:hint="eastAsia" w:ascii="仿宋" w:hAnsi="仿宋" w:eastAsia="仿宋" w:cs="仿宋"/>
                <w:b w:val="0"/>
                <w:sz w:val="21"/>
                <w:szCs w:val="21"/>
                <w:lang w:eastAsia="zh-CN"/>
              </w:rPr>
              <w:t>：</w:t>
            </w:r>
          </w:p>
          <w:p w14:paraId="24644C0C">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1.平台作为统一登录入口和基础功能支撑，以智慧行业应用为背景</w:t>
            </w:r>
            <w:r>
              <w:rPr>
                <w:rFonts w:hint="eastAsia" w:ascii="仿宋" w:hAnsi="仿宋" w:eastAsia="仿宋" w:cs="仿宋"/>
                <w:b w:val="0"/>
                <w:sz w:val="21"/>
                <w:szCs w:val="21"/>
                <w:lang w:eastAsia="zh-CN"/>
              </w:rPr>
              <w:t>，</w:t>
            </w:r>
            <w:r>
              <w:rPr>
                <w:rFonts w:hint="eastAsia" w:ascii="仿宋" w:hAnsi="仿宋" w:eastAsia="仿宋" w:cs="仿宋"/>
                <w:b w:val="0"/>
                <w:sz w:val="21"/>
                <w:szCs w:val="21"/>
              </w:rPr>
              <w:t>物联网技术为核心，虚拟仿真为</w:t>
            </w:r>
          </w:p>
          <w:p w14:paraId="6DE9F56E">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支撑能力，满足相关项目需求。</w:t>
            </w:r>
          </w:p>
          <w:p w14:paraId="044D7173">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2.平台采用B/S架构，具有即时即地即登录的轻便型系统环境，能够监控项目环节关键节点，提高项目效率。</w:t>
            </w:r>
          </w:p>
          <w:p w14:paraId="6B4FB2D6">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3.能够使用平台各项功能模块和组件，完成项目任务。模块和组件主要包括硬件仿真、3D场景仿真，行业应用系统、在线开发环境等。</w:t>
            </w:r>
          </w:p>
          <w:p w14:paraId="6ADDF344">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（二）模块功能：</w:t>
            </w:r>
          </w:p>
          <w:p w14:paraId="4934B234">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兼容各类物联网设备快速接入，极速搭建物联网应用，包含：</w:t>
            </w:r>
          </w:p>
          <w:p w14:paraId="0D81145D">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1</w:t>
            </w:r>
            <w:r>
              <w:rPr>
                <w:rFonts w:hint="eastAsia" w:ascii="仿宋" w:hAnsi="仿宋" w:eastAsia="仿宋" w:cs="仿宋"/>
                <w:b w:val="0"/>
                <w:sz w:val="21"/>
                <w:szCs w:val="21"/>
                <w:lang w:eastAsia="zh-CN"/>
              </w:rPr>
              <w:t>）</w:t>
            </w:r>
            <w:r>
              <w:rPr>
                <w:rFonts w:hint="eastAsia" w:ascii="仿宋" w:hAnsi="仿宋" w:eastAsia="仿宋" w:cs="仿宋"/>
                <w:b w:val="0"/>
                <w:sz w:val="21"/>
                <w:szCs w:val="21"/>
              </w:rPr>
              <w:t>连接设备：支持丰富通讯协议，支持仿真设备</w:t>
            </w:r>
            <w:r>
              <w:rPr>
                <w:rFonts w:hint="eastAsia" w:ascii="仿宋" w:hAnsi="仿宋" w:eastAsia="仿宋" w:cs="仿宋"/>
                <w:b w:val="0"/>
                <w:sz w:val="21"/>
                <w:szCs w:val="21"/>
                <w:lang w:eastAsia="zh-CN"/>
              </w:rPr>
              <w:t>；</w:t>
            </w:r>
          </w:p>
          <w:p w14:paraId="1E20FDD9">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2</w:t>
            </w:r>
            <w:r>
              <w:rPr>
                <w:rFonts w:hint="eastAsia" w:ascii="仿宋" w:hAnsi="仿宋" w:eastAsia="仿宋" w:cs="仿宋"/>
                <w:b w:val="0"/>
                <w:sz w:val="21"/>
                <w:szCs w:val="21"/>
                <w:lang w:eastAsia="zh-CN"/>
              </w:rPr>
              <w:t>）</w:t>
            </w:r>
            <w:r>
              <w:rPr>
                <w:rFonts w:hint="eastAsia" w:ascii="仿宋" w:hAnsi="仿宋" w:eastAsia="仿宋" w:cs="仿宋"/>
                <w:b w:val="0"/>
                <w:sz w:val="21"/>
                <w:szCs w:val="21"/>
              </w:rPr>
              <w:t>设备管理：自定义产品，物模型库、设备调试</w:t>
            </w:r>
            <w:r>
              <w:rPr>
                <w:rFonts w:hint="eastAsia" w:ascii="仿宋" w:hAnsi="仿宋" w:eastAsia="仿宋" w:cs="仿宋"/>
                <w:b w:val="0"/>
                <w:sz w:val="21"/>
                <w:szCs w:val="21"/>
                <w:lang w:eastAsia="zh-CN"/>
              </w:rPr>
              <w:t>；</w:t>
            </w:r>
          </w:p>
          <w:p w14:paraId="71BDFCBD">
            <w:pPr>
              <w:widowControl w:val="0"/>
              <w:spacing w:line="360" w:lineRule="auto"/>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3</w:t>
            </w:r>
            <w:r>
              <w:rPr>
                <w:rFonts w:hint="eastAsia" w:ascii="仿宋" w:hAnsi="仿宋" w:eastAsia="仿宋" w:cs="仿宋"/>
                <w:b w:val="0"/>
                <w:sz w:val="21"/>
                <w:szCs w:val="21"/>
                <w:lang w:eastAsia="zh-CN"/>
              </w:rPr>
              <w:t>）</w:t>
            </w:r>
            <w:r>
              <w:rPr>
                <w:rFonts w:hint="eastAsia" w:ascii="仿宋" w:hAnsi="仿宋" w:eastAsia="仿宋" w:cs="仿宋"/>
                <w:b w:val="0"/>
                <w:sz w:val="21"/>
                <w:szCs w:val="21"/>
              </w:rPr>
              <w:t>二次开发：API接口调试，规则链</w:t>
            </w:r>
            <w:r>
              <w:rPr>
                <w:rFonts w:hint="eastAsia" w:ascii="仿宋" w:hAnsi="仿宋" w:eastAsia="仿宋" w:cs="仿宋"/>
                <w:b w:val="0"/>
                <w:sz w:val="21"/>
                <w:szCs w:val="21"/>
                <w:lang w:eastAsia="zh-CN"/>
              </w:rPr>
              <w:t>；</w:t>
            </w:r>
          </w:p>
          <w:p w14:paraId="74761A0E">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4</w:t>
            </w:r>
            <w:r>
              <w:rPr>
                <w:rFonts w:hint="eastAsia" w:ascii="仿宋" w:hAnsi="仿宋" w:eastAsia="仿宋" w:cs="仿宋"/>
                <w:b w:val="0"/>
                <w:sz w:val="21"/>
                <w:szCs w:val="21"/>
                <w:lang w:eastAsia="zh-CN"/>
              </w:rPr>
              <w:t>）</w:t>
            </w:r>
            <w:r>
              <w:rPr>
                <w:rFonts w:hint="eastAsia" w:ascii="仿宋" w:hAnsi="仿宋" w:eastAsia="仿宋" w:cs="仿宋"/>
                <w:b w:val="0"/>
                <w:sz w:val="21"/>
                <w:szCs w:val="21"/>
              </w:rPr>
              <w:t>应用开发：2D/3D项目生成器、大屏展示、组态应用。</w:t>
            </w:r>
          </w:p>
        </w:tc>
        <w:tc>
          <w:tcPr>
            <w:tcW w:w="606" w:type="pct"/>
            <w:tcBorders>
              <w:tl2br w:val="nil"/>
              <w:tr2bl w:val="nil"/>
            </w:tcBorders>
            <w:shd w:val="clear" w:color="auto" w:fill="FFFFFF"/>
            <w:noWrap w:val="0"/>
            <w:vAlign w:val="center"/>
          </w:tcPr>
          <w:p w14:paraId="7157EA55">
            <w:pPr>
              <w:widowControl w:val="0"/>
              <w:spacing w:line="360" w:lineRule="auto"/>
              <w:jc w:val="center"/>
              <w:rPr>
                <w:rFonts w:hint="eastAsia" w:ascii="仿宋" w:hAnsi="仿宋" w:eastAsia="仿宋" w:cs="仿宋"/>
                <w:b w:val="0"/>
                <w:sz w:val="21"/>
                <w:szCs w:val="21"/>
                <w:lang w:val="en-US" w:eastAsia="zh-CN"/>
              </w:rPr>
            </w:pPr>
          </w:p>
        </w:tc>
        <w:tc>
          <w:tcPr>
            <w:tcW w:w="426" w:type="pct"/>
            <w:tcBorders>
              <w:tl2br w:val="nil"/>
              <w:tr2bl w:val="nil"/>
            </w:tcBorders>
            <w:shd w:val="clear" w:color="auto" w:fill="FFFFFF"/>
            <w:noWrap w:val="0"/>
            <w:vAlign w:val="center"/>
          </w:tcPr>
          <w:p w14:paraId="5B434E1E">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p>
        </w:tc>
        <w:tc>
          <w:tcPr>
            <w:tcW w:w="375" w:type="pct"/>
            <w:tcBorders>
              <w:tl2br w:val="nil"/>
              <w:tr2bl w:val="nil"/>
            </w:tcBorders>
            <w:shd w:val="clear" w:color="auto" w:fill="FFFFFF"/>
            <w:noWrap w:val="0"/>
            <w:vAlign w:val="center"/>
          </w:tcPr>
          <w:p w14:paraId="1A83AFE3">
            <w:pPr>
              <w:widowControl w:val="0"/>
              <w:jc w:val="center"/>
              <w:rPr>
                <w:rFonts w:hint="eastAsia" w:ascii="仿宋" w:hAnsi="仿宋" w:eastAsia="仿宋" w:cs="仿宋"/>
                <w:b w:val="0"/>
                <w:sz w:val="21"/>
                <w:szCs w:val="21"/>
              </w:rPr>
            </w:pPr>
          </w:p>
        </w:tc>
      </w:tr>
      <w:tr w14:paraId="50758C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restart"/>
            <w:tcBorders>
              <w:tl2br w:val="nil"/>
              <w:tr2bl w:val="nil"/>
            </w:tcBorders>
            <w:shd w:val="clear" w:color="auto" w:fill="FFFFFF"/>
            <w:noWrap w:val="0"/>
            <w:vAlign w:val="center"/>
          </w:tcPr>
          <w:p w14:paraId="340D1949">
            <w:pPr>
              <w:widowControl w:val="0"/>
              <w:jc w:val="center"/>
              <w:rPr>
                <w:rFonts w:hint="eastAsia" w:ascii="仿宋" w:hAnsi="仿宋" w:eastAsia="仿宋" w:cs="仿宋"/>
                <w:b w:val="0"/>
                <w:sz w:val="21"/>
                <w:szCs w:val="21"/>
              </w:rPr>
            </w:pPr>
            <w:r>
              <w:rPr>
                <w:rFonts w:hint="eastAsia" w:ascii="仿宋" w:hAnsi="仿宋" w:eastAsia="仿宋" w:cs="仿宋"/>
                <w:b w:val="0"/>
                <w:sz w:val="21"/>
                <w:szCs w:val="21"/>
              </w:rPr>
              <w:t>工具</w:t>
            </w:r>
          </w:p>
        </w:tc>
        <w:tc>
          <w:tcPr>
            <w:tcW w:w="505" w:type="pct"/>
            <w:tcBorders>
              <w:tl2br w:val="nil"/>
              <w:tr2bl w:val="nil"/>
            </w:tcBorders>
            <w:shd w:val="clear" w:color="auto" w:fill="FFFFFF"/>
            <w:noWrap w:val="0"/>
            <w:vAlign w:val="center"/>
          </w:tcPr>
          <w:p w14:paraId="7F42C200">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rPr>
              <w:t>IoT工具包</w:t>
            </w:r>
          </w:p>
        </w:tc>
        <w:tc>
          <w:tcPr>
            <w:tcW w:w="519" w:type="pct"/>
            <w:tcBorders>
              <w:tl2br w:val="nil"/>
              <w:tr2bl w:val="nil"/>
            </w:tcBorders>
            <w:shd w:val="clear" w:color="auto" w:fill="FFFFFF"/>
            <w:noWrap w:val="0"/>
            <w:vAlign w:val="center"/>
          </w:tcPr>
          <w:p w14:paraId="2C24BA56">
            <w:pPr>
              <w:widowControl w:val="0"/>
              <w:spacing w:line="360" w:lineRule="auto"/>
              <w:jc w:val="center"/>
              <w:rPr>
                <w:rFonts w:hint="eastAsia" w:ascii="仿宋" w:hAnsi="仿宋" w:eastAsia="仿宋" w:cs="仿宋"/>
                <w:b w:val="0"/>
                <w:sz w:val="21"/>
                <w:szCs w:val="21"/>
              </w:rPr>
            </w:pPr>
            <w:r>
              <w:rPr>
                <w:rFonts w:hint="eastAsia" w:ascii="仿宋" w:hAnsi="仿宋" w:eastAsia="仿宋" w:cs="仿宋"/>
                <w:b w:val="0"/>
                <w:sz w:val="21"/>
                <w:szCs w:val="21"/>
              </w:rPr>
              <w:t>NLE-GJ2023</w:t>
            </w:r>
          </w:p>
        </w:tc>
        <w:tc>
          <w:tcPr>
            <w:tcW w:w="1838" w:type="pct"/>
            <w:tcBorders>
              <w:tl2br w:val="nil"/>
              <w:tr2bl w:val="nil"/>
            </w:tcBorders>
            <w:shd w:val="clear" w:color="auto" w:fill="FFFFFF"/>
            <w:noWrap w:val="0"/>
            <w:vAlign w:val="center"/>
          </w:tcPr>
          <w:p w14:paraId="07F85323">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工具包含一字螺丝刀、十字螺丝刀、剥线钳、电工钳、压线钳、测线仪、电动螺丝刀。</w:t>
            </w:r>
          </w:p>
        </w:tc>
        <w:tc>
          <w:tcPr>
            <w:tcW w:w="606" w:type="pct"/>
            <w:tcBorders>
              <w:tl2br w:val="nil"/>
              <w:tr2bl w:val="nil"/>
            </w:tcBorders>
            <w:shd w:val="clear" w:color="auto" w:fill="FFFFFF"/>
            <w:noWrap w:val="0"/>
            <w:vAlign w:val="center"/>
          </w:tcPr>
          <w:p w14:paraId="4D910702">
            <w:pPr>
              <w:widowControl w:val="0"/>
              <w:spacing w:line="360" w:lineRule="auto"/>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1套</w:t>
            </w:r>
          </w:p>
        </w:tc>
        <w:tc>
          <w:tcPr>
            <w:tcW w:w="426" w:type="pct"/>
            <w:tcBorders>
              <w:tl2br w:val="nil"/>
              <w:tr2bl w:val="nil"/>
            </w:tcBorders>
            <w:shd w:val="clear" w:color="auto" w:fill="FFFFFF"/>
            <w:noWrap w:val="0"/>
            <w:vAlign w:val="center"/>
          </w:tcPr>
          <w:p w14:paraId="0FCC472E">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北京新大陆时代科技有限公司</w:t>
            </w:r>
          </w:p>
        </w:tc>
        <w:tc>
          <w:tcPr>
            <w:tcW w:w="375" w:type="pct"/>
            <w:tcBorders>
              <w:tl2br w:val="nil"/>
              <w:tr2bl w:val="nil"/>
            </w:tcBorders>
            <w:shd w:val="clear" w:color="auto" w:fill="FFFFFF"/>
            <w:noWrap w:val="0"/>
            <w:vAlign w:val="center"/>
          </w:tcPr>
          <w:p w14:paraId="7188A625">
            <w:pPr>
              <w:widowControl w:val="0"/>
              <w:jc w:val="center"/>
              <w:rPr>
                <w:rFonts w:hint="eastAsia" w:ascii="仿宋" w:hAnsi="仿宋" w:eastAsia="仿宋" w:cs="仿宋"/>
                <w:b w:val="0"/>
                <w:sz w:val="21"/>
                <w:szCs w:val="21"/>
              </w:rPr>
            </w:pPr>
          </w:p>
        </w:tc>
      </w:tr>
      <w:tr w14:paraId="6D2236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vMerge w:val="continue"/>
            <w:tcBorders>
              <w:tl2br w:val="nil"/>
              <w:tr2bl w:val="nil"/>
            </w:tcBorders>
            <w:shd w:val="clear" w:color="auto" w:fill="FFFFFF"/>
            <w:noWrap w:val="0"/>
            <w:vAlign w:val="center"/>
          </w:tcPr>
          <w:p w14:paraId="49E6A584">
            <w:pPr>
              <w:widowControl w:val="0"/>
              <w:jc w:val="center"/>
              <w:rPr>
                <w:rFonts w:hint="eastAsia" w:ascii="仿宋" w:hAnsi="仿宋" w:eastAsia="仿宋" w:cs="仿宋"/>
                <w:b w:val="0"/>
                <w:sz w:val="21"/>
                <w:szCs w:val="21"/>
              </w:rPr>
            </w:pPr>
          </w:p>
        </w:tc>
        <w:tc>
          <w:tcPr>
            <w:tcW w:w="505" w:type="pct"/>
            <w:tcBorders>
              <w:tl2br w:val="nil"/>
              <w:tr2bl w:val="nil"/>
            </w:tcBorders>
            <w:shd w:val="clear" w:color="auto" w:fill="FFFFFF"/>
            <w:noWrap w:val="0"/>
            <w:vAlign w:val="center"/>
          </w:tcPr>
          <w:p w14:paraId="720C4DDE">
            <w:pPr>
              <w:widowControl w:val="0"/>
              <w:spacing w:line="360" w:lineRule="auto"/>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耗材</w:t>
            </w:r>
          </w:p>
        </w:tc>
        <w:tc>
          <w:tcPr>
            <w:tcW w:w="519" w:type="pct"/>
            <w:tcBorders>
              <w:tl2br w:val="nil"/>
              <w:tr2bl w:val="nil"/>
            </w:tcBorders>
            <w:shd w:val="clear" w:color="auto" w:fill="FFFFFF"/>
            <w:noWrap w:val="0"/>
            <w:vAlign w:val="center"/>
          </w:tcPr>
          <w:p w14:paraId="293F3BCF">
            <w:pPr>
              <w:widowControl/>
              <w:snapToGrid w:val="0"/>
              <w:jc w:val="center"/>
              <w:rPr>
                <w:rFonts w:hint="eastAsia" w:ascii="仿宋" w:hAnsi="仿宋" w:eastAsia="仿宋" w:cs="仿宋"/>
                <w:b w:val="0"/>
                <w:sz w:val="21"/>
                <w:szCs w:val="21"/>
              </w:rPr>
            </w:pPr>
            <w:r>
              <w:rPr>
                <w:rFonts w:hint="eastAsia" w:ascii="仿宋" w:hAnsi="仿宋" w:eastAsia="仿宋" w:cs="仿宋"/>
                <w:b w:val="0"/>
                <w:bCs w:val="0"/>
                <w:color w:val="000000"/>
                <w:kern w:val="0"/>
                <w:sz w:val="21"/>
                <w:szCs w:val="21"/>
                <w:vertAlign w:val="baseline"/>
                <w:lang w:val="en-US" w:eastAsia="zh-CN" w:bidi="ar"/>
              </w:rPr>
              <w:t>定制</w:t>
            </w:r>
          </w:p>
        </w:tc>
        <w:tc>
          <w:tcPr>
            <w:tcW w:w="1838" w:type="pct"/>
            <w:tcBorders>
              <w:tl2br w:val="nil"/>
              <w:tr2bl w:val="nil"/>
            </w:tcBorders>
            <w:shd w:val="clear" w:color="auto" w:fill="FFFFFF"/>
            <w:noWrap w:val="0"/>
            <w:vAlign w:val="center"/>
          </w:tcPr>
          <w:p w14:paraId="20924DA5">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耗材包含电线</w:t>
            </w:r>
            <w:r>
              <w:rPr>
                <w:rFonts w:hint="eastAsia" w:ascii="仿宋" w:hAnsi="仿宋" w:eastAsia="仿宋" w:cs="仿宋"/>
                <w:b w:val="0"/>
                <w:sz w:val="21"/>
                <w:szCs w:val="21"/>
                <w:lang w:eastAsia="zh-CN"/>
              </w:rPr>
              <w:t>（</w:t>
            </w:r>
            <w:r>
              <w:rPr>
                <w:rFonts w:hint="eastAsia" w:ascii="仿宋" w:hAnsi="仿宋" w:eastAsia="仿宋" w:cs="仿宋"/>
                <w:b w:val="0"/>
                <w:sz w:val="21"/>
                <w:szCs w:val="21"/>
                <w:lang w:val="en-US" w:eastAsia="zh-CN"/>
              </w:rPr>
              <w:t>双色线0.5mm，单色线0.3mm）</w:t>
            </w:r>
            <w:r>
              <w:rPr>
                <w:rFonts w:hint="eastAsia" w:ascii="仿宋" w:hAnsi="仿宋" w:eastAsia="仿宋" w:cs="仿宋"/>
                <w:b w:val="0"/>
                <w:sz w:val="21"/>
                <w:szCs w:val="21"/>
              </w:rPr>
              <w:t>、网线、螺丝、螺母、扎线带、电工胶布。</w:t>
            </w:r>
          </w:p>
        </w:tc>
        <w:tc>
          <w:tcPr>
            <w:tcW w:w="606" w:type="pct"/>
            <w:tcBorders>
              <w:tl2br w:val="nil"/>
              <w:tr2bl w:val="nil"/>
            </w:tcBorders>
            <w:shd w:val="clear" w:color="auto" w:fill="FFFFFF"/>
            <w:noWrap w:val="0"/>
            <w:vAlign w:val="center"/>
          </w:tcPr>
          <w:p w14:paraId="280174F8">
            <w:pPr>
              <w:widowControl w:val="0"/>
              <w:spacing w:line="360" w:lineRule="auto"/>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1套</w:t>
            </w:r>
          </w:p>
        </w:tc>
        <w:tc>
          <w:tcPr>
            <w:tcW w:w="426" w:type="pct"/>
            <w:tcBorders>
              <w:tl2br w:val="nil"/>
              <w:tr2bl w:val="nil"/>
            </w:tcBorders>
            <w:shd w:val="clear" w:color="auto" w:fill="FFFFFF"/>
            <w:noWrap w:val="0"/>
            <w:vAlign w:val="center"/>
          </w:tcPr>
          <w:p w14:paraId="7178E7DF">
            <w:pPr>
              <w:keepNext w:val="0"/>
              <w:keepLines w:val="0"/>
              <w:widowControl/>
              <w:suppressLineNumbers w:val="0"/>
              <w:jc w:val="both"/>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北京新大陆时代科技有限公司</w:t>
            </w:r>
          </w:p>
        </w:tc>
        <w:tc>
          <w:tcPr>
            <w:tcW w:w="375" w:type="pct"/>
            <w:tcBorders>
              <w:tl2br w:val="nil"/>
              <w:tr2bl w:val="nil"/>
            </w:tcBorders>
            <w:shd w:val="clear" w:color="auto" w:fill="FFFFFF"/>
            <w:noWrap w:val="0"/>
            <w:vAlign w:val="center"/>
          </w:tcPr>
          <w:p w14:paraId="2A098259">
            <w:pPr>
              <w:widowControl w:val="0"/>
              <w:jc w:val="center"/>
              <w:rPr>
                <w:rFonts w:hint="eastAsia" w:ascii="仿宋" w:hAnsi="仿宋" w:eastAsia="仿宋" w:cs="仿宋"/>
                <w:b w:val="0"/>
                <w:sz w:val="21"/>
                <w:szCs w:val="21"/>
              </w:rPr>
            </w:pPr>
          </w:p>
        </w:tc>
      </w:tr>
      <w:tr w14:paraId="54F3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tcBorders>
              <w:tl2br w:val="nil"/>
              <w:tr2bl w:val="nil"/>
            </w:tcBorders>
            <w:shd w:val="clear" w:color="auto" w:fill="FFFFFF"/>
            <w:noWrap w:val="0"/>
            <w:vAlign w:val="center"/>
          </w:tcPr>
          <w:p w14:paraId="5D59CB15">
            <w:pPr>
              <w:widowControl w:val="0"/>
              <w:jc w:val="center"/>
              <w:rPr>
                <w:rFonts w:hint="eastAsia" w:ascii="仿宋" w:hAnsi="仿宋" w:eastAsia="仿宋" w:cs="仿宋"/>
                <w:b w:val="0"/>
                <w:sz w:val="21"/>
                <w:szCs w:val="21"/>
              </w:rPr>
            </w:pPr>
            <w:r>
              <w:rPr>
                <w:rFonts w:hint="eastAsia" w:ascii="仿宋" w:hAnsi="仿宋" w:eastAsia="仿宋" w:cs="仿宋"/>
                <w:b w:val="0"/>
                <w:sz w:val="21"/>
                <w:szCs w:val="21"/>
              </w:rPr>
              <w:t>技术支持</w:t>
            </w:r>
          </w:p>
        </w:tc>
        <w:tc>
          <w:tcPr>
            <w:tcW w:w="4271" w:type="pct"/>
            <w:gridSpan w:val="6"/>
            <w:tcBorders>
              <w:tl2br w:val="nil"/>
              <w:tr2bl w:val="nil"/>
            </w:tcBorders>
            <w:shd w:val="clear" w:color="auto" w:fill="FFFFFF"/>
            <w:noWrap w:val="0"/>
            <w:vAlign w:val="center"/>
          </w:tcPr>
          <w:p w14:paraId="73A3D11D">
            <w:pPr>
              <w:widowControl w:val="0"/>
              <w:spacing w:line="360" w:lineRule="auto"/>
              <w:jc w:val="left"/>
              <w:rPr>
                <w:rFonts w:hint="eastAsia" w:ascii="仿宋" w:hAnsi="仿宋" w:eastAsia="仿宋" w:cs="仿宋"/>
                <w:b w:val="0"/>
                <w:sz w:val="21"/>
                <w:szCs w:val="21"/>
              </w:rPr>
            </w:pPr>
          </w:p>
          <w:p w14:paraId="62D97C2B">
            <w:pPr>
              <w:widowControl w:val="0"/>
              <w:spacing w:line="360" w:lineRule="auto"/>
              <w:jc w:val="left"/>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一</w:t>
            </w:r>
            <w:r>
              <w:rPr>
                <w:rFonts w:hint="eastAsia" w:ascii="仿宋" w:hAnsi="仿宋" w:eastAsia="仿宋" w:cs="仿宋"/>
                <w:b w:val="0"/>
                <w:sz w:val="21"/>
                <w:szCs w:val="21"/>
                <w:lang w:eastAsia="zh-CN"/>
              </w:rPr>
              <w:t>）</w:t>
            </w:r>
            <w:r>
              <w:rPr>
                <w:rFonts w:hint="eastAsia" w:ascii="仿宋" w:hAnsi="仿宋" w:eastAsia="仿宋" w:cs="仿宋"/>
                <w:b w:val="0"/>
                <w:sz w:val="21"/>
                <w:szCs w:val="21"/>
              </w:rPr>
              <w:t>设备技术保障</w:t>
            </w:r>
          </w:p>
          <w:p w14:paraId="0747E0FA">
            <w:pPr>
              <w:widowControl w:val="0"/>
              <w:spacing w:line="360" w:lineRule="auto"/>
              <w:jc w:val="left"/>
              <w:rPr>
                <w:rFonts w:hint="eastAsia" w:ascii="仿宋" w:hAnsi="仿宋" w:eastAsia="仿宋" w:cs="仿宋"/>
                <w:b w:val="0"/>
                <w:sz w:val="21"/>
                <w:szCs w:val="21"/>
                <w:lang w:eastAsia="zh-CN"/>
              </w:rPr>
            </w:pPr>
            <w:r>
              <w:rPr>
                <w:rFonts w:hint="eastAsia" w:ascii="仿宋" w:hAnsi="仿宋" w:eastAsia="仿宋" w:cs="仿宋"/>
                <w:b w:val="0"/>
                <w:sz w:val="21"/>
                <w:szCs w:val="21"/>
              </w:rPr>
              <w:t>参赛选手要根据参赛项目的具体需求选择合适的设备，确保设备的性能稳定，功能完整</w:t>
            </w:r>
            <w:r>
              <w:rPr>
                <w:rFonts w:hint="eastAsia" w:ascii="仿宋" w:hAnsi="仿宋" w:eastAsia="仿宋" w:cs="仿宋"/>
                <w:b w:val="0"/>
                <w:sz w:val="21"/>
                <w:szCs w:val="21"/>
                <w:lang w:eastAsia="zh-CN"/>
              </w:rPr>
              <w:t>；</w:t>
            </w:r>
            <w:r>
              <w:rPr>
                <w:rFonts w:hint="eastAsia" w:ascii="仿宋" w:hAnsi="仿宋" w:eastAsia="仿宋" w:cs="仿宋"/>
                <w:b w:val="0"/>
                <w:sz w:val="21"/>
                <w:szCs w:val="21"/>
              </w:rPr>
              <w:t>在比赛开始前，参赛选手要对选择的设备进行现场检查并确认，确保设备处于正常工作状态</w:t>
            </w:r>
            <w:r>
              <w:rPr>
                <w:rFonts w:hint="eastAsia" w:ascii="仿宋" w:hAnsi="仿宋" w:eastAsia="仿宋" w:cs="仿宋"/>
                <w:b w:val="0"/>
                <w:sz w:val="21"/>
                <w:szCs w:val="21"/>
                <w:lang w:eastAsia="zh-CN"/>
              </w:rPr>
              <w:t>；</w:t>
            </w:r>
            <w:r>
              <w:rPr>
                <w:rFonts w:hint="eastAsia" w:ascii="仿宋" w:hAnsi="仿宋" w:eastAsia="仿宋" w:cs="仿宋"/>
                <w:b w:val="0"/>
                <w:sz w:val="21"/>
                <w:szCs w:val="21"/>
              </w:rPr>
              <w:t>参赛选手要明确设备故障处理方法。承办学校配备了技术人员和备用比赛设备及工具，以便在设备出现故障时能够迅速进行修复或替换。</w:t>
            </w:r>
          </w:p>
          <w:p w14:paraId="0D276DCD">
            <w:pPr>
              <w:widowControl w:val="0"/>
              <w:spacing w:line="360" w:lineRule="auto"/>
              <w:jc w:val="left"/>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二</w:t>
            </w:r>
            <w:r>
              <w:rPr>
                <w:rFonts w:hint="eastAsia" w:ascii="仿宋" w:hAnsi="仿宋" w:eastAsia="仿宋" w:cs="仿宋"/>
                <w:b w:val="0"/>
                <w:sz w:val="21"/>
                <w:szCs w:val="21"/>
                <w:lang w:eastAsia="zh-CN"/>
              </w:rPr>
              <w:t>）</w:t>
            </w:r>
            <w:r>
              <w:rPr>
                <w:rFonts w:hint="eastAsia" w:ascii="仿宋" w:hAnsi="仿宋" w:eastAsia="仿宋" w:cs="仿宋"/>
                <w:b w:val="0"/>
                <w:sz w:val="21"/>
                <w:szCs w:val="21"/>
              </w:rPr>
              <w:t>安全操作规范</w:t>
            </w:r>
          </w:p>
          <w:p w14:paraId="18580DA3">
            <w:pPr>
              <w:widowControl w:val="0"/>
              <w:spacing w:line="360" w:lineRule="auto"/>
              <w:jc w:val="left"/>
              <w:rPr>
                <w:rFonts w:hint="eastAsia" w:ascii="仿宋" w:hAnsi="仿宋" w:eastAsia="仿宋" w:cs="仿宋"/>
                <w:b w:val="0"/>
                <w:sz w:val="21"/>
                <w:szCs w:val="21"/>
                <w:lang w:eastAsia="zh-CN"/>
              </w:rPr>
            </w:pPr>
            <w:r>
              <w:rPr>
                <w:rFonts w:hint="eastAsia" w:ascii="仿宋" w:hAnsi="仿宋" w:eastAsia="仿宋" w:cs="仿宋"/>
                <w:b w:val="0"/>
                <w:sz w:val="21"/>
                <w:szCs w:val="21"/>
              </w:rPr>
              <w:t>参赛选手要熟知设备使用方法、安全操作规范和安全性能，能够熟练使用设备且安全文明操作，明确应急处理流程，以便在发生安全事故时能够迅速进行处理，另外，在比赛现场承办学校配备了专业的应急人员和急救设备。</w:t>
            </w:r>
          </w:p>
          <w:p w14:paraId="7988F67F">
            <w:pPr>
              <w:widowControl w:val="0"/>
              <w:numPr>
                <w:ilvl w:val="0"/>
                <w:numId w:val="2"/>
              </w:numPr>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本赛项技术咨询与支持由</w:t>
            </w:r>
            <w:r>
              <w:rPr>
                <w:rFonts w:hint="eastAsia" w:ascii="仿宋" w:hAnsi="仿宋" w:eastAsia="仿宋" w:cs="仿宋"/>
                <w:b w:val="0"/>
                <w:sz w:val="21"/>
                <w:szCs w:val="21"/>
                <w:lang w:val="en-US" w:eastAsia="zh-CN"/>
              </w:rPr>
              <w:t>北京新大陆时代科技</w:t>
            </w:r>
            <w:r>
              <w:rPr>
                <w:rFonts w:hint="eastAsia" w:ascii="仿宋" w:hAnsi="仿宋" w:eastAsia="仿宋" w:cs="仿宋"/>
                <w:b w:val="0"/>
                <w:sz w:val="21"/>
                <w:szCs w:val="21"/>
              </w:rPr>
              <w:t>有限公司提供。</w:t>
            </w:r>
          </w:p>
          <w:p w14:paraId="1921186A">
            <w:pPr>
              <w:pStyle w:val="2"/>
              <w:widowControl w:val="0"/>
              <w:numPr>
                <w:ilvl w:val="0"/>
                <w:numId w:val="0"/>
              </w:numPr>
              <w:rPr>
                <w:rFonts w:hint="eastAsia"/>
                <w:b w:val="0"/>
              </w:rPr>
            </w:pPr>
          </w:p>
        </w:tc>
      </w:tr>
      <w:tr w14:paraId="0BCC2A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728" w:type="pct"/>
            <w:tcBorders>
              <w:tl2br w:val="nil"/>
              <w:tr2bl w:val="nil"/>
            </w:tcBorders>
            <w:shd w:val="clear" w:color="auto" w:fill="FFFFFF"/>
            <w:noWrap w:val="0"/>
            <w:vAlign w:val="center"/>
          </w:tcPr>
          <w:p w14:paraId="34FA4A3F">
            <w:pPr>
              <w:widowControl w:val="0"/>
              <w:jc w:val="center"/>
              <w:rPr>
                <w:rFonts w:hint="eastAsia" w:ascii="仿宋" w:hAnsi="仿宋" w:eastAsia="仿宋" w:cs="仿宋"/>
                <w:b w:val="0"/>
                <w:sz w:val="21"/>
                <w:szCs w:val="21"/>
              </w:rPr>
            </w:pPr>
            <w:r>
              <w:rPr>
                <w:rFonts w:hint="eastAsia" w:ascii="仿宋" w:hAnsi="仿宋" w:eastAsia="仿宋" w:cs="仿宋"/>
                <w:b w:val="0"/>
                <w:sz w:val="21"/>
                <w:szCs w:val="21"/>
              </w:rPr>
              <w:t>场地及环境</w:t>
            </w:r>
          </w:p>
        </w:tc>
        <w:tc>
          <w:tcPr>
            <w:tcW w:w="4271" w:type="pct"/>
            <w:gridSpan w:val="6"/>
            <w:tcBorders>
              <w:tl2br w:val="nil"/>
              <w:tr2bl w:val="nil"/>
            </w:tcBorders>
            <w:shd w:val="clear" w:color="auto" w:fill="FFFFFF"/>
            <w:noWrap w:val="0"/>
            <w:vAlign w:val="center"/>
          </w:tcPr>
          <w:p w14:paraId="2611D749">
            <w:pPr>
              <w:widowControl w:val="0"/>
              <w:spacing w:line="360" w:lineRule="auto"/>
              <w:jc w:val="left"/>
              <w:rPr>
                <w:rFonts w:hint="eastAsia" w:ascii="仿宋" w:hAnsi="仿宋" w:eastAsia="仿宋" w:cs="仿宋"/>
                <w:b w:val="0"/>
                <w:sz w:val="21"/>
                <w:szCs w:val="21"/>
              </w:rPr>
            </w:pPr>
          </w:p>
          <w:p w14:paraId="7FF64533">
            <w:pPr>
              <w:widowControl w:val="0"/>
              <w:spacing w:line="360" w:lineRule="auto"/>
              <w:jc w:val="left"/>
              <w:rPr>
                <w:rFonts w:hint="eastAsia" w:ascii="仿宋" w:hAnsi="仿宋" w:eastAsia="仿宋" w:cs="仿宋"/>
                <w:b w:val="0"/>
                <w:sz w:val="21"/>
                <w:szCs w:val="21"/>
                <w:lang w:eastAsia="zh-CN"/>
              </w:rPr>
            </w:pPr>
            <w:r>
              <w:rPr>
                <w:rFonts w:hint="eastAsia" w:ascii="仿宋" w:hAnsi="仿宋" w:eastAsia="仿宋" w:cs="仿宋"/>
                <w:b w:val="0"/>
                <w:sz w:val="21"/>
                <w:szCs w:val="21"/>
              </w:rPr>
              <w:t>竞赛场地面积约100平米，参赛队的参赛展示区约20平米且标明区域</w:t>
            </w:r>
            <w:r>
              <w:rPr>
                <w:rFonts w:hint="eastAsia" w:ascii="仿宋" w:hAnsi="仿宋" w:eastAsia="仿宋" w:cs="仿宋"/>
                <w:b w:val="0"/>
                <w:sz w:val="21"/>
                <w:szCs w:val="21"/>
                <w:lang w:eastAsia="zh-CN"/>
              </w:rPr>
              <w:t>；</w:t>
            </w:r>
            <w:r>
              <w:rPr>
                <w:rFonts w:hint="eastAsia" w:ascii="仿宋" w:hAnsi="仿宋" w:eastAsia="仿宋" w:cs="仿宋"/>
                <w:b w:val="0"/>
                <w:sz w:val="21"/>
                <w:szCs w:val="21"/>
              </w:rPr>
              <w:t>参赛展示区提供稳定的供电和应急备用电源，提供无线网络环境</w:t>
            </w:r>
            <w:r>
              <w:rPr>
                <w:rFonts w:hint="eastAsia" w:ascii="仿宋" w:hAnsi="仿宋" w:eastAsia="仿宋" w:cs="仿宋"/>
                <w:b w:val="0"/>
                <w:sz w:val="21"/>
                <w:szCs w:val="21"/>
                <w:lang w:eastAsia="zh-CN"/>
              </w:rPr>
              <w:t>；</w:t>
            </w:r>
            <w:r>
              <w:rPr>
                <w:rFonts w:hint="eastAsia" w:ascii="仿宋" w:hAnsi="仿宋" w:eastAsia="仿宋" w:cs="仿宋"/>
                <w:b w:val="0"/>
                <w:sz w:val="21"/>
                <w:szCs w:val="21"/>
              </w:rPr>
              <w:t>赛场入口及赛场内显眼位置公示应急疏散图，场地内相关区域配备必要的灭火器材。</w:t>
            </w:r>
          </w:p>
          <w:p w14:paraId="6B8C2CD8">
            <w:pPr>
              <w:pStyle w:val="2"/>
              <w:widowControl w:val="0"/>
              <w:rPr>
                <w:rFonts w:hint="eastAsia"/>
                <w:b w:val="0"/>
              </w:rPr>
            </w:pPr>
          </w:p>
        </w:tc>
      </w:tr>
      <w:tr w14:paraId="19F8F6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26" w:hRule="atLeast"/>
          <w:jc w:val="center"/>
        </w:trPr>
        <w:tc>
          <w:tcPr>
            <w:tcW w:w="728" w:type="pct"/>
            <w:tcBorders>
              <w:tl2br w:val="nil"/>
              <w:tr2bl w:val="nil"/>
            </w:tcBorders>
            <w:shd w:val="clear" w:color="auto" w:fill="FFFFFF"/>
            <w:noWrap w:val="0"/>
            <w:vAlign w:val="center"/>
          </w:tcPr>
          <w:p w14:paraId="6F78C0BA">
            <w:pPr>
              <w:widowControl w:val="0"/>
              <w:jc w:val="center"/>
              <w:rPr>
                <w:rFonts w:hint="eastAsia" w:ascii="仿宋" w:hAnsi="仿宋" w:eastAsia="仿宋" w:cs="仿宋"/>
                <w:b w:val="0"/>
                <w:sz w:val="21"/>
                <w:szCs w:val="21"/>
              </w:rPr>
            </w:pPr>
            <w:r>
              <w:rPr>
                <w:rFonts w:hint="eastAsia" w:ascii="仿宋" w:hAnsi="仿宋" w:eastAsia="仿宋" w:cs="仿宋"/>
                <w:b w:val="0"/>
                <w:sz w:val="21"/>
                <w:szCs w:val="21"/>
              </w:rPr>
              <w:t>其他</w:t>
            </w:r>
          </w:p>
        </w:tc>
        <w:tc>
          <w:tcPr>
            <w:tcW w:w="4271" w:type="pct"/>
            <w:gridSpan w:val="6"/>
            <w:tcBorders>
              <w:tl2br w:val="nil"/>
              <w:tr2bl w:val="nil"/>
            </w:tcBorders>
            <w:shd w:val="clear" w:color="auto" w:fill="FFFFFF"/>
            <w:noWrap w:val="0"/>
            <w:vAlign w:val="center"/>
          </w:tcPr>
          <w:p w14:paraId="4BA84671">
            <w:pPr>
              <w:widowControl w:val="0"/>
              <w:spacing w:line="360" w:lineRule="auto"/>
              <w:jc w:val="left"/>
              <w:rPr>
                <w:rFonts w:hint="eastAsia" w:ascii="仿宋" w:hAnsi="仿宋" w:eastAsia="仿宋" w:cs="仿宋"/>
                <w:b w:val="0"/>
                <w:sz w:val="21"/>
                <w:szCs w:val="21"/>
              </w:rPr>
            </w:pPr>
            <w:r>
              <w:rPr>
                <w:rFonts w:hint="eastAsia" w:ascii="仿宋" w:hAnsi="仿宋" w:eastAsia="仿宋" w:cs="仿宋"/>
                <w:b w:val="0"/>
                <w:sz w:val="21"/>
                <w:szCs w:val="21"/>
              </w:rPr>
              <w:t>其他所需设备及耗材由参数队自行携带并填写自带设备清单。</w:t>
            </w:r>
          </w:p>
        </w:tc>
      </w:tr>
    </w:tbl>
    <w:p w14:paraId="225AA5AA">
      <w:pPr>
        <w:spacing w:line="19" w:lineRule="auto"/>
        <w:rPr>
          <w:rFonts w:ascii="Arial"/>
          <w:sz w:val="2"/>
        </w:rPr>
      </w:pPr>
    </w:p>
    <w:p w14:paraId="63894FFF">
      <w:pPr>
        <w:spacing w:before="174" w:line="227" w:lineRule="auto"/>
        <w:rPr>
          <w:rFonts w:ascii="黑体" w:hAnsi="黑体" w:eastAsia="黑体" w:cs="黑体"/>
          <w:spacing w:val="7"/>
          <w:sz w:val="31"/>
          <w:szCs w:val="31"/>
        </w:rPr>
      </w:pPr>
    </w:p>
    <w:p w14:paraId="07CAB139">
      <w:pPr>
        <w:spacing w:before="209" w:line="228" w:lineRule="auto"/>
        <w:ind w:left="634"/>
        <w:outlineLvl w:val="0"/>
        <w:rPr>
          <w:rFonts w:ascii="黑体" w:hAnsi="黑体" w:eastAsia="黑体" w:cs="黑体"/>
          <w:spacing w:val="8"/>
          <w:sz w:val="31"/>
          <w:szCs w:val="31"/>
        </w:rPr>
      </w:pPr>
      <w:r>
        <w:rPr>
          <w:rFonts w:ascii="黑体" w:hAnsi="黑体" w:eastAsia="黑体" w:cs="黑体"/>
          <w:spacing w:val="8"/>
          <w:sz w:val="31"/>
          <w:szCs w:val="31"/>
        </w:rPr>
        <w:t>八、评分标准</w:t>
      </w:r>
    </w:p>
    <w:p w14:paraId="6821DBCD">
      <w:pPr>
        <w:spacing w:before="337" w:line="231" w:lineRule="auto"/>
        <w:ind w:left="788"/>
        <w:outlineLvl w:val="1"/>
        <w:rPr>
          <w:rFonts w:ascii="楷体" w:hAnsi="楷体" w:eastAsia="楷体" w:cs="楷体"/>
          <w:spacing w:val="3"/>
          <w:sz w:val="31"/>
          <w:szCs w:val="31"/>
        </w:rPr>
      </w:pPr>
      <w:r>
        <w:rPr>
          <w:rFonts w:ascii="楷体" w:hAnsi="楷体" w:eastAsia="楷体" w:cs="楷体"/>
          <w:spacing w:val="3"/>
          <w:sz w:val="31"/>
          <w:szCs w:val="31"/>
        </w:rPr>
        <w:t>（一）制订原则。</w:t>
      </w:r>
    </w:p>
    <w:p w14:paraId="44D9BEE3">
      <w:pPr>
        <w:spacing w:before="326" w:line="323" w:lineRule="auto"/>
        <w:ind w:left="135" w:right="109" w:firstLine="645"/>
        <w:jc w:val="both"/>
        <w:rPr>
          <w:rFonts w:ascii="仿宋" w:hAnsi="仿宋" w:eastAsia="仿宋" w:cs="仿宋"/>
          <w:spacing w:val="4"/>
          <w:sz w:val="31"/>
          <w:szCs w:val="31"/>
          <w:lang w:val="en-US" w:eastAsia="en-US"/>
        </w:rPr>
      </w:pPr>
      <w:r>
        <w:rPr>
          <w:rFonts w:hint="eastAsia" w:ascii="仿宋" w:hAnsi="仿宋" w:eastAsia="仿宋" w:cs="仿宋"/>
          <w:spacing w:val="4"/>
          <w:sz w:val="31"/>
          <w:szCs w:val="31"/>
          <w:lang w:val="en-US" w:eastAsia="zh-CN"/>
        </w:rPr>
        <w:t>成绩评定充分依据大赛评分要素，坚持公正客观、质量优先、标准统一、透明公开、宁缺毋滥原则，确保评审过程的公正性、客观性和有效性。</w:t>
      </w:r>
    </w:p>
    <w:p w14:paraId="0C8EC7EE">
      <w:pPr>
        <w:spacing w:before="326" w:line="323" w:lineRule="auto"/>
        <w:ind w:left="135" w:right="109" w:firstLine="645"/>
        <w:jc w:val="both"/>
        <w:rPr>
          <w:rFonts w:hint="eastAsia" w:eastAsia="仿宋"/>
          <w:lang w:eastAsia="zh-CN"/>
        </w:rPr>
      </w:pPr>
      <w:r>
        <w:rPr>
          <w:rFonts w:ascii="仿宋" w:hAnsi="仿宋" w:eastAsia="仿宋" w:cs="仿宋"/>
          <w:spacing w:val="4"/>
          <w:sz w:val="31"/>
          <w:szCs w:val="31"/>
        </w:rPr>
        <w:t>突出能力导向、解决实际问题、体现创新因素、确保公平可</w:t>
      </w:r>
      <w:r>
        <w:rPr>
          <w:rFonts w:ascii="仿宋" w:hAnsi="仿宋" w:eastAsia="仿宋" w:cs="仿宋"/>
          <w:spacing w:val="5"/>
          <w:sz w:val="31"/>
          <w:szCs w:val="31"/>
        </w:rPr>
        <w:t>比为评分原则，依据参赛选手整体表现综合评定，全面评价参赛选手职业技能水平</w:t>
      </w:r>
      <w:r>
        <w:rPr>
          <w:rFonts w:hint="eastAsia" w:ascii="仿宋" w:hAnsi="仿宋" w:eastAsia="仿宋" w:cs="仿宋"/>
          <w:spacing w:val="5"/>
          <w:sz w:val="31"/>
          <w:szCs w:val="31"/>
          <w:lang w:eastAsia="zh-CN"/>
        </w:rPr>
        <w:t>。</w:t>
      </w:r>
    </w:p>
    <w:p w14:paraId="7E2E33E7">
      <w:pPr>
        <w:pStyle w:val="2"/>
        <w:spacing w:line="246" w:lineRule="auto"/>
      </w:pPr>
    </w:p>
    <w:p w14:paraId="7495051A">
      <w:pPr>
        <w:spacing w:before="100" w:line="229" w:lineRule="auto"/>
        <w:ind w:left="682"/>
        <w:outlineLvl w:val="1"/>
        <w:rPr>
          <w:rFonts w:ascii="楷体" w:hAnsi="楷体" w:eastAsia="楷体" w:cs="楷体"/>
          <w:sz w:val="31"/>
          <w:szCs w:val="31"/>
        </w:rPr>
      </w:pPr>
      <w:r>
        <w:rPr>
          <w:rFonts w:ascii="楷体" w:hAnsi="楷体" w:eastAsia="楷体" w:cs="楷体"/>
          <w:spacing w:val="3"/>
          <w:sz w:val="31"/>
          <w:szCs w:val="31"/>
        </w:rPr>
        <w:t>（</w:t>
      </w:r>
      <w:r>
        <w:rPr>
          <w:rFonts w:hint="eastAsia" w:ascii="楷体" w:hAnsi="楷体" w:eastAsia="楷体" w:cs="楷体"/>
          <w:spacing w:val="3"/>
          <w:sz w:val="31"/>
          <w:szCs w:val="31"/>
          <w:lang w:eastAsia="zh-CN"/>
        </w:rPr>
        <w:t>二</w:t>
      </w:r>
      <w:r>
        <w:rPr>
          <w:rFonts w:ascii="楷体" w:hAnsi="楷体" w:eastAsia="楷体" w:cs="楷体"/>
          <w:spacing w:val="3"/>
          <w:sz w:val="31"/>
          <w:szCs w:val="31"/>
        </w:rPr>
        <w:t>）评分要素。</w:t>
      </w:r>
    </w:p>
    <w:p w14:paraId="5E62A941">
      <w:pPr>
        <w:spacing w:before="332" w:line="323" w:lineRule="auto"/>
        <w:ind w:left="26" w:right="190" w:firstLine="648"/>
        <w:jc w:val="both"/>
        <w:rPr>
          <w:rFonts w:ascii="仿宋" w:hAnsi="仿宋" w:eastAsia="仿宋" w:cs="仿宋"/>
          <w:spacing w:val="12"/>
          <w:sz w:val="31"/>
          <w:szCs w:val="31"/>
        </w:rPr>
      </w:pPr>
      <w:r>
        <w:rPr>
          <w:rFonts w:ascii="仿宋" w:hAnsi="仿宋" w:eastAsia="仿宋" w:cs="仿宋"/>
          <w:spacing w:val="5"/>
          <w:sz w:val="31"/>
          <w:szCs w:val="31"/>
        </w:rPr>
        <w:t>主要从技能水平</w:t>
      </w:r>
      <w:r>
        <w:rPr>
          <w:rFonts w:hint="eastAsia" w:ascii="Times New Roman" w:hAnsi="Times New Roman" w:eastAsia="宋体" w:cs="Times New Roman"/>
          <w:spacing w:val="5"/>
          <w:sz w:val="31"/>
          <w:szCs w:val="31"/>
          <w:lang w:val="en-US" w:eastAsia="zh-CN"/>
        </w:rPr>
        <w:t>40</w:t>
      </w:r>
      <w:r>
        <w:rPr>
          <w:rFonts w:ascii="仿宋" w:hAnsi="仿宋" w:eastAsia="仿宋" w:cs="仿宋"/>
          <w:spacing w:val="5"/>
          <w:sz w:val="31"/>
          <w:szCs w:val="31"/>
        </w:rPr>
        <w:t>%、职业素养</w:t>
      </w:r>
      <w:r>
        <w:rPr>
          <w:rFonts w:hint="eastAsia" w:ascii="Times New Roman" w:hAnsi="Times New Roman" w:eastAsia="宋体" w:cs="Times New Roman"/>
          <w:spacing w:val="5"/>
          <w:sz w:val="31"/>
          <w:szCs w:val="31"/>
          <w:lang w:val="en-US" w:eastAsia="zh-CN"/>
        </w:rPr>
        <w:t>20</w:t>
      </w:r>
      <w:r>
        <w:rPr>
          <w:rFonts w:ascii="仿宋" w:hAnsi="仿宋" w:eastAsia="仿宋" w:cs="仿宋"/>
          <w:spacing w:val="5"/>
          <w:sz w:val="31"/>
          <w:szCs w:val="31"/>
        </w:rPr>
        <w:t>%、应用价值</w:t>
      </w:r>
      <w:r>
        <w:rPr>
          <w:rFonts w:ascii="Times New Roman" w:hAnsi="Times New Roman" w:eastAsia="Times New Roman" w:cs="Times New Roman"/>
          <w:spacing w:val="5"/>
          <w:sz w:val="31"/>
          <w:szCs w:val="31"/>
        </w:rPr>
        <w:t>1</w:t>
      </w:r>
      <w:r>
        <w:rPr>
          <w:rFonts w:hint="eastAsia" w:ascii="Times New Roman" w:hAnsi="Times New Roman" w:eastAsia="宋体" w:cs="Times New Roman"/>
          <w:spacing w:val="5"/>
          <w:sz w:val="31"/>
          <w:szCs w:val="31"/>
          <w:lang w:val="en-US" w:eastAsia="zh-CN"/>
        </w:rPr>
        <w:t>5</w:t>
      </w:r>
      <w:r>
        <w:rPr>
          <w:rFonts w:ascii="仿宋" w:hAnsi="仿宋" w:eastAsia="仿宋" w:cs="仿宋"/>
          <w:spacing w:val="5"/>
          <w:sz w:val="31"/>
          <w:szCs w:val="31"/>
        </w:rPr>
        <w:t>%、团队</w:t>
      </w:r>
      <w:r>
        <w:rPr>
          <w:rFonts w:ascii="仿宋" w:hAnsi="仿宋" w:eastAsia="仿宋" w:cs="仿宋"/>
          <w:spacing w:val="7"/>
          <w:sz w:val="31"/>
          <w:szCs w:val="31"/>
        </w:rPr>
        <w:t>合作</w:t>
      </w:r>
      <w:r>
        <w:rPr>
          <w:rFonts w:ascii="Times New Roman" w:hAnsi="Times New Roman" w:eastAsia="Times New Roman" w:cs="Times New Roman"/>
          <w:spacing w:val="7"/>
          <w:sz w:val="31"/>
          <w:szCs w:val="31"/>
        </w:rPr>
        <w:t>1</w:t>
      </w:r>
      <w:r>
        <w:rPr>
          <w:rFonts w:hint="eastAsia" w:ascii="Times New Roman" w:hAnsi="Times New Roman" w:eastAsia="宋体" w:cs="Times New Roman"/>
          <w:spacing w:val="7"/>
          <w:sz w:val="31"/>
          <w:szCs w:val="31"/>
          <w:lang w:val="en-US" w:eastAsia="zh-CN"/>
        </w:rPr>
        <w:t>5</w:t>
      </w:r>
      <w:r>
        <w:rPr>
          <w:rFonts w:ascii="仿宋" w:hAnsi="仿宋" w:eastAsia="仿宋" w:cs="仿宋"/>
          <w:spacing w:val="7"/>
          <w:sz w:val="31"/>
          <w:szCs w:val="31"/>
        </w:rPr>
        <w:t>%、创新创意</w:t>
      </w:r>
      <w:r>
        <w:rPr>
          <w:rFonts w:ascii="Times New Roman" w:hAnsi="Times New Roman" w:eastAsia="Times New Roman" w:cs="Times New Roman"/>
          <w:spacing w:val="7"/>
          <w:sz w:val="31"/>
          <w:szCs w:val="31"/>
        </w:rPr>
        <w:t>10</w:t>
      </w:r>
      <w:r>
        <w:rPr>
          <w:rFonts w:ascii="仿宋" w:hAnsi="仿宋" w:eastAsia="仿宋" w:cs="仿宋"/>
          <w:spacing w:val="7"/>
          <w:sz w:val="31"/>
          <w:szCs w:val="31"/>
        </w:rPr>
        <w:t>%等五个方面，按权重对参赛队伍做整体</w:t>
      </w:r>
      <w:r>
        <w:rPr>
          <w:rFonts w:ascii="仿宋" w:hAnsi="仿宋" w:eastAsia="仿宋" w:cs="仿宋"/>
          <w:spacing w:val="12"/>
          <w:sz w:val="31"/>
          <w:szCs w:val="31"/>
        </w:rPr>
        <w:t>评价（评分要素见表</w:t>
      </w:r>
      <w:r>
        <w:rPr>
          <w:rFonts w:hint="eastAsia" w:ascii="Times New Roman" w:hAnsi="Times New Roman" w:eastAsia="宋体" w:cs="Times New Roman"/>
          <w:spacing w:val="12"/>
          <w:sz w:val="31"/>
          <w:szCs w:val="31"/>
          <w:lang w:val="en-US" w:eastAsia="zh-CN"/>
        </w:rPr>
        <w:t>二</w:t>
      </w:r>
      <w:r>
        <w:rPr>
          <w:rFonts w:ascii="仿宋" w:hAnsi="仿宋" w:eastAsia="仿宋" w:cs="仿宋"/>
          <w:spacing w:val="12"/>
          <w:sz w:val="31"/>
          <w:szCs w:val="31"/>
        </w:rPr>
        <w:t>）。</w:t>
      </w:r>
    </w:p>
    <w:p w14:paraId="30CB912E">
      <w:pPr>
        <w:pStyle w:val="2"/>
        <w:rPr>
          <w:rFonts w:ascii="仿宋" w:hAnsi="仿宋" w:eastAsia="仿宋" w:cs="仿宋"/>
          <w:spacing w:val="12"/>
          <w:sz w:val="31"/>
          <w:szCs w:val="31"/>
        </w:rPr>
      </w:pPr>
    </w:p>
    <w:p w14:paraId="69044BEA"/>
    <w:p w14:paraId="4546F91D">
      <w:pPr>
        <w:pStyle w:val="2"/>
      </w:pPr>
    </w:p>
    <w:p w14:paraId="4A8E3002"/>
    <w:p w14:paraId="6478C1FB">
      <w:pPr>
        <w:pStyle w:val="2"/>
      </w:pPr>
    </w:p>
    <w:p w14:paraId="55A5DBE3"/>
    <w:p w14:paraId="48D84A4E">
      <w:pPr>
        <w:spacing w:before="84" w:line="222" w:lineRule="auto"/>
        <w:jc w:val="center"/>
        <w:rPr>
          <w:rFonts w:hint="eastAsia" w:ascii="仿宋" w:hAnsi="仿宋" w:eastAsia="仿宋" w:cs="宋体"/>
          <w:b/>
          <w:bCs/>
          <w:snapToGrid w:val="0"/>
          <w:color w:val="000000"/>
          <w:kern w:val="0"/>
          <w:sz w:val="32"/>
          <w:szCs w:val="32"/>
          <w:lang w:val="en-US" w:eastAsia="zh-CN" w:bidi="ar-SA"/>
        </w:rPr>
      </w:pPr>
      <w:r>
        <w:rPr>
          <w:rFonts w:hint="eastAsia" w:ascii="仿宋" w:hAnsi="仿宋" w:eastAsia="仿宋" w:cs="宋体"/>
          <w:b/>
          <w:bCs/>
          <w:snapToGrid w:val="0"/>
          <w:color w:val="000000"/>
          <w:kern w:val="0"/>
          <w:sz w:val="32"/>
          <w:szCs w:val="32"/>
          <w:lang w:val="en-US" w:eastAsia="zh-CN" w:bidi="ar-SA"/>
        </w:rPr>
        <w:t>表二2025年渭南市学生技能大赛</w:t>
      </w:r>
    </w:p>
    <w:p w14:paraId="391477B6">
      <w:pPr>
        <w:spacing w:before="84" w:line="222" w:lineRule="auto"/>
        <w:jc w:val="center"/>
        <w:rPr>
          <w:rFonts w:hint="default" w:ascii="仿宋" w:hAnsi="仿宋" w:eastAsia="仿宋" w:cs="宋体"/>
          <w:b/>
          <w:bCs/>
          <w:snapToGrid w:val="0"/>
          <w:color w:val="000000"/>
          <w:kern w:val="0"/>
          <w:sz w:val="32"/>
          <w:szCs w:val="32"/>
          <w:lang w:val="en-US" w:eastAsia="zh-CN" w:bidi="ar-SA"/>
        </w:rPr>
      </w:pPr>
      <w:r>
        <w:rPr>
          <w:rFonts w:hint="eastAsia" w:ascii="仿宋" w:hAnsi="仿宋" w:eastAsia="仿宋" w:cs="宋体"/>
          <w:b/>
          <w:bCs/>
          <w:snapToGrid w:val="0"/>
          <w:color w:val="000000"/>
          <w:kern w:val="0"/>
          <w:sz w:val="32"/>
          <w:szCs w:val="32"/>
          <w:lang w:val="en-US" w:eastAsia="zh-CN" w:bidi="ar-SA"/>
        </w:rPr>
        <w:t>“物联网应用与服务赛项”评分要素表</w:t>
      </w:r>
    </w:p>
    <w:p w14:paraId="0A72EC14">
      <w:pPr>
        <w:spacing w:line="15" w:lineRule="exact"/>
      </w:pPr>
    </w:p>
    <w:p w14:paraId="658C4B60">
      <w:pPr>
        <w:pStyle w:val="2"/>
      </w:pPr>
    </w:p>
    <w:tbl>
      <w:tblPr>
        <w:tblStyle w:val="9"/>
        <w:tblW w:w="9033"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2"/>
        <w:gridCol w:w="7264"/>
        <w:gridCol w:w="1027"/>
      </w:tblGrid>
      <w:tr w14:paraId="44D0AE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742" w:type="dxa"/>
            <w:tcBorders>
              <w:tl2br w:val="nil"/>
              <w:tr2bl w:val="nil"/>
            </w:tcBorders>
            <w:noWrap w:val="0"/>
            <w:vAlign w:val="top"/>
          </w:tcPr>
          <w:p w14:paraId="46D49B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评价要素</w:t>
            </w:r>
          </w:p>
        </w:tc>
        <w:tc>
          <w:tcPr>
            <w:tcW w:w="7264" w:type="dxa"/>
            <w:tcBorders>
              <w:tl2br w:val="nil"/>
              <w:tr2bl w:val="nil"/>
            </w:tcBorders>
            <w:noWrap w:val="0"/>
            <w:vAlign w:val="top"/>
          </w:tcPr>
          <w:p w14:paraId="7676F09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评审内容</w:t>
            </w:r>
          </w:p>
        </w:tc>
        <w:tc>
          <w:tcPr>
            <w:tcW w:w="1027" w:type="dxa"/>
            <w:tcBorders>
              <w:tl2br w:val="nil"/>
              <w:tr2bl w:val="nil"/>
            </w:tcBorders>
            <w:noWrap w:val="0"/>
            <w:vAlign w:val="top"/>
          </w:tcPr>
          <w:p w14:paraId="148C1D7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权重</w:t>
            </w:r>
          </w:p>
        </w:tc>
      </w:tr>
      <w:tr w14:paraId="326965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3" w:hRule="atLeast"/>
        </w:trPr>
        <w:tc>
          <w:tcPr>
            <w:tcW w:w="742" w:type="dxa"/>
            <w:tcBorders>
              <w:tl2br w:val="nil"/>
              <w:tr2bl w:val="nil"/>
            </w:tcBorders>
            <w:noWrap w:val="0"/>
            <w:vAlign w:val="center"/>
          </w:tcPr>
          <w:p w14:paraId="390BFE9E">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p>
          <w:p w14:paraId="77F566F0">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技能水平</w:t>
            </w:r>
          </w:p>
        </w:tc>
        <w:tc>
          <w:tcPr>
            <w:tcW w:w="7264" w:type="dxa"/>
            <w:tcBorders>
              <w:tl2br w:val="nil"/>
              <w:tr2bl w:val="nil"/>
            </w:tcBorders>
            <w:noWrap w:val="0"/>
            <w:vAlign w:val="center"/>
          </w:tcPr>
          <w:p w14:paraId="680DA389">
            <w:pPr>
              <w:pStyle w:val="10"/>
              <w:spacing w:before="173" w:line="222" w:lineRule="auto"/>
              <w:ind w:left="254"/>
              <w:jc w:val="both"/>
              <w:rPr>
                <w:spacing w:val="-14"/>
                <w:sz w:val="24"/>
                <w:szCs w:val="24"/>
                <w:lang w:val="en-US" w:eastAsia="zh-CN"/>
              </w:rPr>
            </w:pPr>
            <w:r>
              <w:rPr>
                <w:rFonts w:hint="eastAsia"/>
                <w:spacing w:val="-14"/>
                <w:sz w:val="24"/>
                <w:szCs w:val="24"/>
                <w:lang w:val="en-US" w:eastAsia="zh-CN"/>
              </w:rPr>
              <w:t>1.</w:t>
            </w:r>
            <w:r>
              <w:rPr>
                <w:spacing w:val="-14"/>
                <w:sz w:val="24"/>
                <w:szCs w:val="24"/>
                <w:lang w:val="en-US" w:eastAsia="zh-CN"/>
              </w:rPr>
              <w:t>物联网设备安装与调试（15分）：</w:t>
            </w:r>
          </w:p>
          <w:p w14:paraId="72AFC479">
            <w:pPr>
              <w:pStyle w:val="10"/>
              <w:spacing w:before="173" w:line="222" w:lineRule="auto"/>
              <w:ind w:left="254"/>
              <w:jc w:val="both"/>
              <w:rPr>
                <w:spacing w:val="-14"/>
                <w:sz w:val="24"/>
                <w:szCs w:val="24"/>
                <w:lang w:val="en-US" w:eastAsia="zh-CN"/>
              </w:rPr>
            </w:pPr>
            <w:r>
              <w:rPr>
                <w:spacing w:val="-14"/>
                <w:sz w:val="24"/>
                <w:szCs w:val="24"/>
                <w:lang w:val="en-US" w:eastAsia="zh-CN"/>
              </w:rPr>
              <w:t>精准选型设备（5分），安装规范牢固（5分），调试成功实现功能（5分），错漏按项扣分。</w:t>
            </w:r>
          </w:p>
          <w:p w14:paraId="136234ED">
            <w:pPr>
              <w:pStyle w:val="10"/>
              <w:spacing w:before="173" w:line="222" w:lineRule="auto"/>
              <w:ind w:left="254"/>
              <w:jc w:val="both"/>
              <w:rPr>
                <w:spacing w:val="-14"/>
                <w:sz w:val="24"/>
                <w:szCs w:val="24"/>
                <w:lang w:val="en-US" w:eastAsia="zh-CN"/>
              </w:rPr>
            </w:pPr>
            <w:r>
              <w:rPr>
                <w:rFonts w:hint="eastAsia"/>
                <w:spacing w:val="-14"/>
                <w:sz w:val="24"/>
                <w:szCs w:val="24"/>
                <w:lang w:val="en-US" w:eastAsia="zh-CN"/>
              </w:rPr>
              <w:t>2.</w:t>
            </w:r>
            <w:r>
              <w:rPr>
                <w:spacing w:val="-14"/>
                <w:sz w:val="24"/>
                <w:szCs w:val="24"/>
                <w:lang w:val="en-US" w:eastAsia="zh-CN"/>
              </w:rPr>
              <w:t>物联网</w:t>
            </w:r>
            <w:r>
              <w:rPr>
                <w:rFonts w:hint="eastAsia"/>
                <w:spacing w:val="-14"/>
                <w:sz w:val="24"/>
                <w:szCs w:val="24"/>
                <w:lang w:val="en-US" w:eastAsia="zh-CN"/>
              </w:rPr>
              <w:t>网络运维</w:t>
            </w:r>
            <w:r>
              <w:rPr>
                <w:spacing w:val="-14"/>
                <w:sz w:val="24"/>
                <w:szCs w:val="24"/>
                <w:lang w:val="en-US" w:eastAsia="zh-CN"/>
              </w:rPr>
              <w:t>（15分）：</w:t>
            </w:r>
            <w:r>
              <w:rPr>
                <w:rFonts w:hint="eastAsia"/>
                <w:spacing w:val="-14"/>
                <w:sz w:val="24"/>
                <w:szCs w:val="24"/>
                <w:lang w:val="en-US" w:eastAsia="zh-CN"/>
              </w:rPr>
              <w:t>主线搭建迅速</w:t>
            </w:r>
            <w:r>
              <w:rPr>
                <w:spacing w:val="-14"/>
                <w:sz w:val="24"/>
                <w:szCs w:val="24"/>
                <w:lang w:val="en-US" w:eastAsia="zh-CN"/>
              </w:rPr>
              <w:t>（5分），完整实现系统功能（5分），系统稳定运行（5分），问题按处扣分。</w:t>
            </w:r>
          </w:p>
          <w:p w14:paraId="54245B9E">
            <w:pPr>
              <w:pStyle w:val="10"/>
              <w:spacing w:before="173" w:line="222" w:lineRule="auto"/>
              <w:ind w:left="254"/>
              <w:jc w:val="both"/>
              <w:rPr>
                <w:spacing w:val="-8"/>
                <w:sz w:val="24"/>
                <w:szCs w:val="24"/>
              </w:rPr>
            </w:pPr>
            <w:r>
              <w:rPr>
                <w:rFonts w:hint="eastAsia"/>
                <w:spacing w:val="-14"/>
                <w:sz w:val="24"/>
                <w:szCs w:val="24"/>
                <w:lang w:val="en-US" w:eastAsia="zh-CN"/>
              </w:rPr>
              <w:t>3.云平台策略实施</w:t>
            </w:r>
            <w:r>
              <w:rPr>
                <w:spacing w:val="-14"/>
                <w:sz w:val="24"/>
                <w:szCs w:val="24"/>
                <w:lang w:val="en-US" w:eastAsia="zh-CN"/>
              </w:rPr>
              <w:t>（10分）：准确采集数据（3分），正确处理结果并</w:t>
            </w:r>
            <w:r>
              <w:rPr>
                <w:rFonts w:hint="eastAsia"/>
                <w:spacing w:val="-14"/>
                <w:sz w:val="24"/>
                <w:szCs w:val="24"/>
                <w:lang w:val="en-US" w:eastAsia="zh-CN"/>
              </w:rPr>
              <w:t>制定相应策略</w:t>
            </w:r>
            <w:r>
              <w:rPr>
                <w:spacing w:val="-14"/>
                <w:sz w:val="24"/>
                <w:szCs w:val="24"/>
                <w:lang w:val="en-US" w:eastAsia="zh-CN"/>
              </w:rPr>
              <w:t>（4分），</w:t>
            </w:r>
            <w:r>
              <w:rPr>
                <w:rFonts w:hint="eastAsia"/>
                <w:spacing w:val="-14"/>
                <w:sz w:val="24"/>
                <w:szCs w:val="24"/>
                <w:lang w:val="en-US" w:eastAsia="zh-CN"/>
              </w:rPr>
              <w:t>排布显示界面完整且观感舒适</w:t>
            </w:r>
            <w:r>
              <w:rPr>
                <w:spacing w:val="-14"/>
                <w:sz w:val="24"/>
                <w:szCs w:val="24"/>
                <w:lang w:val="en-US" w:eastAsia="zh-CN"/>
              </w:rPr>
              <w:t>（3分），失误酌情扣分。</w:t>
            </w:r>
          </w:p>
        </w:tc>
        <w:tc>
          <w:tcPr>
            <w:tcW w:w="1027" w:type="dxa"/>
            <w:tcBorders>
              <w:tl2br w:val="nil"/>
              <w:tr2bl w:val="nil"/>
            </w:tcBorders>
            <w:noWrap w:val="0"/>
            <w:vAlign w:val="center"/>
          </w:tcPr>
          <w:p w14:paraId="47584FA5">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40%</w:t>
            </w:r>
          </w:p>
        </w:tc>
      </w:tr>
      <w:tr w14:paraId="04F0AD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8" w:hRule="atLeast"/>
        </w:trPr>
        <w:tc>
          <w:tcPr>
            <w:tcW w:w="742" w:type="dxa"/>
            <w:tcBorders>
              <w:tl2br w:val="nil"/>
              <w:tr2bl w:val="nil"/>
            </w:tcBorders>
            <w:noWrap w:val="0"/>
            <w:vAlign w:val="center"/>
          </w:tcPr>
          <w:p w14:paraId="6A3005C6">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职业素养</w:t>
            </w:r>
          </w:p>
        </w:tc>
        <w:tc>
          <w:tcPr>
            <w:tcW w:w="7264" w:type="dxa"/>
            <w:tcBorders>
              <w:tl2br w:val="nil"/>
              <w:tr2bl w:val="nil"/>
            </w:tcBorders>
            <w:noWrap w:val="0"/>
            <w:vAlign w:val="center"/>
          </w:tcPr>
          <w:p w14:paraId="1E2EB577">
            <w:pPr>
              <w:pStyle w:val="10"/>
              <w:spacing w:before="173" w:line="222" w:lineRule="auto"/>
              <w:ind w:left="254"/>
              <w:jc w:val="both"/>
              <w:rPr>
                <w:spacing w:val="-14"/>
                <w:sz w:val="24"/>
                <w:szCs w:val="24"/>
                <w:lang w:val="en-US" w:eastAsia="zh-CN"/>
              </w:rPr>
            </w:pPr>
            <w:r>
              <w:rPr>
                <w:rFonts w:hint="eastAsia" w:ascii="宋体" w:hAnsi="宋体" w:eastAsia="宋体" w:cs="宋体"/>
                <w:snapToGrid w:val="0"/>
                <w:color w:val="000000"/>
                <w:kern w:val="0"/>
                <w:sz w:val="24"/>
                <w:szCs w:val="24"/>
                <w:lang w:val="en-US" w:eastAsia="zh-CN" w:bidi="ar"/>
              </w:rPr>
              <w:t>1</w:t>
            </w:r>
            <w:r>
              <w:rPr>
                <w:rFonts w:hint="eastAsia"/>
                <w:spacing w:val="-14"/>
                <w:sz w:val="24"/>
                <w:szCs w:val="24"/>
                <w:lang w:val="en-US" w:eastAsia="zh-CN"/>
              </w:rPr>
              <w:t>.</w:t>
            </w:r>
            <w:r>
              <w:rPr>
                <w:spacing w:val="-14"/>
                <w:sz w:val="24"/>
                <w:szCs w:val="24"/>
                <w:lang w:val="en-US" w:eastAsia="zh-CN"/>
              </w:rPr>
              <w:t>工作态度（8分）：积极主动（4分），操作严谨认真（4分），失误按次扣分。</w:t>
            </w:r>
          </w:p>
          <w:p w14:paraId="7A7A8F20">
            <w:pPr>
              <w:pStyle w:val="10"/>
              <w:spacing w:before="173" w:line="222" w:lineRule="auto"/>
              <w:ind w:left="254"/>
              <w:jc w:val="both"/>
              <w:rPr>
                <w:spacing w:val="-14"/>
                <w:sz w:val="24"/>
                <w:szCs w:val="24"/>
                <w:lang w:val="en-US" w:eastAsia="zh-CN"/>
              </w:rPr>
            </w:pPr>
            <w:r>
              <w:rPr>
                <w:rFonts w:hint="eastAsia"/>
                <w:spacing w:val="-14"/>
                <w:sz w:val="24"/>
                <w:szCs w:val="24"/>
                <w:lang w:val="en-US" w:eastAsia="zh-CN"/>
              </w:rPr>
              <w:t>2.</w:t>
            </w:r>
            <w:r>
              <w:rPr>
                <w:spacing w:val="-14"/>
                <w:sz w:val="24"/>
                <w:szCs w:val="24"/>
                <w:lang w:val="en-US" w:eastAsia="zh-CN"/>
              </w:rPr>
              <w:t>职业规范（6分）：遵守赛场规则（3分），具备安全意识（3分），违规隐患按次扣分。</w:t>
            </w:r>
          </w:p>
          <w:p w14:paraId="21A0746F">
            <w:pPr>
              <w:pStyle w:val="10"/>
              <w:spacing w:before="173" w:line="222" w:lineRule="auto"/>
              <w:ind w:left="254"/>
              <w:jc w:val="both"/>
              <w:rPr>
                <w:sz w:val="24"/>
                <w:szCs w:val="24"/>
              </w:rPr>
            </w:pPr>
            <w:r>
              <w:rPr>
                <w:rFonts w:hint="eastAsia"/>
                <w:spacing w:val="-14"/>
                <w:sz w:val="24"/>
                <w:szCs w:val="24"/>
                <w:lang w:val="en-US" w:eastAsia="zh-CN"/>
              </w:rPr>
              <w:t>3.PPT展示</w:t>
            </w:r>
            <w:r>
              <w:rPr>
                <w:spacing w:val="-14"/>
                <w:sz w:val="24"/>
                <w:szCs w:val="24"/>
                <w:lang w:val="en-US" w:eastAsia="zh-CN"/>
              </w:rPr>
              <w:t>（6分）：内容完整（3分），</w:t>
            </w:r>
            <w:r>
              <w:rPr>
                <w:rFonts w:hint="eastAsia"/>
                <w:spacing w:val="-14"/>
                <w:sz w:val="24"/>
                <w:szCs w:val="24"/>
                <w:lang w:val="en-US" w:eastAsia="zh-CN"/>
              </w:rPr>
              <w:t>美观创意</w:t>
            </w:r>
            <w:r>
              <w:rPr>
                <w:spacing w:val="-14"/>
                <w:sz w:val="24"/>
                <w:szCs w:val="24"/>
                <w:lang w:val="en-US" w:eastAsia="zh-CN"/>
              </w:rPr>
              <w:t>（3分），缺失不规范按项扣分。</w:t>
            </w:r>
          </w:p>
        </w:tc>
        <w:tc>
          <w:tcPr>
            <w:tcW w:w="1027" w:type="dxa"/>
            <w:tcBorders>
              <w:tl2br w:val="nil"/>
              <w:tr2bl w:val="nil"/>
            </w:tcBorders>
            <w:noWrap w:val="0"/>
            <w:vAlign w:val="center"/>
          </w:tcPr>
          <w:p w14:paraId="7199C89C">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20%</w:t>
            </w:r>
          </w:p>
        </w:tc>
      </w:tr>
      <w:tr w14:paraId="4E09D3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9" w:hRule="atLeast"/>
        </w:trPr>
        <w:tc>
          <w:tcPr>
            <w:tcW w:w="742" w:type="dxa"/>
            <w:tcBorders>
              <w:tl2br w:val="nil"/>
              <w:tr2bl w:val="nil"/>
            </w:tcBorders>
            <w:noWrap w:val="0"/>
            <w:vAlign w:val="center"/>
          </w:tcPr>
          <w:p w14:paraId="716F256A">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应用价值</w:t>
            </w:r>
          </w:p>
        </w:tc>
        <w:tc>
          <w:tcPr>
            <w:tcW w:w="7264" w:type="dxa"/>
            <w:tcBorders>
              <w:tl2br w:val="nil"/>
              <w:tr2bl w:val="nil"/>
            </w:tcBorders>
            <w:noWrap w:val="0"/>
            <w:vAlign w:val="center"/>
          </w:tcPr>
          <w:p w14:paraId="01BC3CF7">
            <w:pPr>
              <w:pStyle w:val="10"/>
              <w:spacing w:before="173" w:line="222" w:lineRule="auto"/>
              <w:ind w:left="254"/>
              <w:jc w:val="both"/>
              <w:rPr>
                <w:spacing w:val="-14"/>
                <w:sz w:val="24"/>
                <w:szCs w:val="24"/>
                <w:lang w:val="en-US" w:eastAsia="zh-CN"/>
              </w:rPr>
            </w:pPr>
            <w:r>
              <w:rPr>
                <w:rFonts w:hint="eastAsia"/>
                <w:spacing w:val="-14"/>
                <w:sz w:val="24"/>
                <w:szCs w:val="24"/>
                <w:lang w:val="en-US" w:eastAsia="zh-CN"/>
              </w:rPr>
              <w:t>1.</w:t>
            </w:r>
            <w:r>
              <w:rPr>
                <w:spacing w:val="-14"/>
                <w:sz w:val="24"/>
                <w:szCs w:val="24"/>
                <w:lang w:val="en-US" w:eastAsia="zh-CN"/>
              </w:rPr>
              <w:t>解决实际问题（8分）：准确分析问题（3分），方案有效可行（5分），偏差酌情扣分。</w:t>
            </w:r>
          </w:p>
          <w:p w14:paraId="38FFB450">
            <w:pPr>
              <w:pStyle w:val="10"/>
              <w:spacing w:before="173" w:line="222" w:lineRule="auto"/>
              <w:ind w:left="254"/>
              <w:jc w:val="both"/>
              <w:rPr>
                <w:sz w:val="24"/>
                <w:szCs w:val="24"/>
              </w:rPr>
            </w:pPr>
            <w:r>
              <w:rPr>
                <w:rFonts w:hint="eastAsia"/>
                <w:spacing w:val="-14"/>
                <w:sz w:val="24"/>
                <w:szCs w:val="24"/>
                <w:lang w:val="en-US" w:eastAsia="zh-CN"/>
              </w:rPr>
              <w:t>2.</w:t>
            </w:r>
            <w:r>
              <w:rPr>
                <w:spacing w:val="-14"/>
                <w:sz w:val="24"/>
                <w:szCs w:val="24"/>
                <w:lang w:val="en-US" w:eastAsia="zh-CN"/>
              </w:rPr>
              <w:t>社会效益或经济效益（7分）：具有潜在效益</w:t>
            </w:r>
            <w:r>
              <w:rPr>
                <w:rFonts w:hint="eastAsia"/>
                <w:spacing w:val="-14"/>
                <w:sz w:val="24"/>
                <w:szCs w:val="24"/>
                <w:lang w:val="en-US" w:eastAsia="zh-CN"/>
              </w:rPr>
              <w:t>，</w:t>
            </w:r>
            <w:r>
              <w:rPr>
                <w:spacing w:val="-14"/>
                <w:sz w:val="24"/>
                <w:szCs w:val="24"/>
                <w:lang w:val="en-US" w:eastAsia="zh-CN"/>
              </w:rPr>
              <w:t>合理分析效益（4分），符合绿色低碳节能的可持续发展理念，有利于改善人民生活、提升人民生活质量。（3分），不佳酌情扣分。</w:t>
            </w:r>
          </w:p>
        </w:tc>
        <w:tc>
          <w:tcPr>
            <w:tcW w:w="1027" w:type="dxa"/>
            <w:tcBorders>
              <w:tl2br w:val="nil"/>
              <w:tr2bl w:val="nil"/>
            </w:tcBorders>
            <w:noWrap w:val="0"/>
            <w:vAlign w:val="center"/>
          </w:tcPr>
          <w:p w14:paraId="279A2A61">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15%</w:t>
            </w:r>
          </w:p>
        </w:tc>
      </w:tr>
      <w:tr w14:paraId="367E47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5" w:hRule="atLeast"/>
        </w:trPr>
        <w:tc>
          <w:tcPr>
            <w:tcW w:w="742" w:type="dxa"/>
            <w:tcBorders>
              <w:tl2br w:val="nil"/>
              <w:tr2bl w:val="nil"/>
            </w:tcBorders>
            <w:noWrap w:val="0"/>
            <w:vAlign w:val="center"/>
          </w:tcPr>
          <w:p w14:paraId="6125FB28">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团队</w:t>
            </w:r>
          </w:p>
          <w:p w14:paraId="383193C1">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合作</w:t>
            </w:r>
          </w:p>
        </w:tc>
        <w:tc>
          <w:tcPr>
            <w:tcW w:w="7264" w:type="dxa"/>
            <w:tcBorders>
              <w:tl2br w:val="nil"/>
              <w:tr2bl w:val="nil"/>
            </w:tcBorders>
            <w:noWrap w:val="0"/>
            <w:vAlign w:val="center"/>
          </w:tcPr>
          <w:p w14:paraId="2C5B8061">
            <w:pPr>
              <w:keepNext w:val="0"/>
              <w:keepLines w:val="0"/>
              <w:widowControl/>
              <w:numPr>
                <w:ilvl w:val="0"/>
                <w:numId w:val="3"/>
              </w:numPr>
              <w:suppressLineNumbers w:val="0"/>
              <w:ind w:left="210" w:leftChars="0" w:firstLineChars="0"/>
              <w:jc w:val="both"/>
              <w:rPr>
                <w:rFonts w:ascii="仿宋" w:hAnsi="仿宋" w:eastAsia="仿宋" w:cs="仿宋"/>
                <w:snapToGrid w:val="0"/>
                <w:color w:val="000000"/>
                <w:spacing w:val="-14"/>
                <w:kern w:val="0"/>
                <w:sz w:val="24"/>
                <w:szCs w:val="24"/>
                <w:lang w:val="en-US" w:eastAsia="zh-CN" w:bidi="ar-SA"/>
              </w:rPr>
            </w:pPr>
            <w:r>
              <w:rPr>
                <w:rFonts w:ascii="仿宋" w:hAnsi="仿宋" w:eastAsia="仿宋" w:cs="仿宋"/>
                <w:snapToGrid w:val="0"/>
                <w:color w:val="000000"/>
                <w:spacing w:val="-14"/>
                <w:kern w:val="0"/>
                <w:sz w:val="24"/>
                <w:szCs w:val="24"/>
                <w:lang w:val="en-US" w:eastAsia="zh-CN" w:bidi="ar-SA"/>
              </w:rPr>
              <w:t>团队协作（8分）：分工明确合理（3分），沟通顺畅（3分），相互支持配合（2分），问题按次扣分。</w:t>
            </w:r>
          </w:p>
          <w:p w14:paraId="53232771">
            <w:pPr>
              <w:keepNext w:val="0"/>
              <w:keepLines w:val="0"/>
              <w:widowControl/>
              <w:numPr>
                <w:ilvl w:val="0"/>
                <w:numId w:val="3"/>
              </w:numPr>
              <w:suppressLineNumbers w:val="0"/>
              <w:ind w:left="210" w:leftChars="0" w:firstLineChars="0"/>
              <w:jc w:val="both"/>
              <w:rPr>
                <w:sz w:val="24"/>
                <w:szCs w:val="24"/>
              </w:rPr>
            </w:pPr>
            <w:r>
              <w:rPr>
                <w:rFonts w:ascii="仿宋" w:hAnsi="仿宋" w:eastAsia="仿宋" w:cs="仿宋"/>
                <w:snapToGrid w:val="0"/>
                <w:color w:val="000000"/>
                <w:spacing w:val="-14"/>
                <w:kern w:val="0"/>
                <w:sz w:val="24"/>
                <w:szCs w:val="24"/>
                <w:lang w:val="en-US" w:eastAsia="zh-CN" w:bidi="ar-SA"/>
              </w:rPr>
              <w:t>团队贡献（7分）：成员贡献均衡（4分），核心成员作用突出（3分），失衡酌情扣分。</w:t>
            </w:r>
          </w:p>
        </w:tc>
        <w:tc>
          <w:tcPr>
            <w:tcW w:w="1027" w:type="dxa"/>
            <w:tcBorders>
              <w:tl2br w:val="nil"/>
              <w:tr2bl w:val="nil"/>
            </w:tcBorders>
            <w:noWrap w:val="0"/>
            <w:vAlign w:val="center"/>
          </w:tcPr>
          <w:p w14:paraId="6A82E739">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15%</w:t>
            </w:r>
          </w:p>
        </w:tc>
      </w:tr>
      <w:tr w14:paraId="198036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0" w:hRule="atLeast"/>
        </w:trPr>
        <w:tc>
          <w:tcPr>
            <w:tcW w:w="742" w:type="dxa"/>
            <w:tcBorders>
              <w:tl2br w:val="nil"/>
              <w:tr2bl w:val="nil"/>
            </w:tcBorders>
            <w:noWrap w:val="0"/>
            <w:vAlign w:val="center"/>
          </w:tcPr>
          <w:p w14:paraId="6F0FFED3">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创新创意</w:t>
            </w:r>
          </w:p>
        </w:tc>
        <w:tc>
          <w:tcPr>
            <w:tcW w:w="7264" w:type="dxa"/>
            <w:tcBorders>
              <w:tl2br w:val="nil"/>
              <w:tr2bl w:val="nil"/>
            </w:tcBorders>
            <w:noWrap w:val="0"/>
            <w:vAlign w:val="center"/>
          </w:tcPr>
          <w:p w14:paraId="52A5FF73">
            <w:pPr>
              <w:keepNext w:val="0"/>
              <w:keepLines w:val="0"/>
              <w:widowControl/>
              <w:numPr>
                <w:ilvl w:val="0"/>
                <w:numId w:val="4"/>
              </w:numPr>
              <w:suppressLineNumbers w:val="0"/>
              <w:ind w:left="210" w:leftChars="0" w:firstLineChars="0"/>
              <w:jc w:val="both"/>
              <w:rPr>
                <w:rFonts w:ascii="仿宋" w:hAnsi="仿宋" w:eastAsia="仿宋" w:cs="仿宋"/>
                <w:snapToGrid w:val="0"/>
                <w:color w:val="000000"/>
                <w:spacing w:val="-14"/>
                <w:kern w:val="0"/>
                <w:sz w:val="24"/>
                <w:szCs w:val="24"/>
                <w:lang w:val="en-US" w:eastAsia="zh-CN" w:bidi="ar-SA"/>
              </w:rPr>
            </w:pPr>
            <w:r>
              <w:rPr>
                <w:rFonts w:hint="eastAsia" w:ascii="仿宋" w:hAnsi="仿宋" w:eastAsia="仿宋" w:cs="仿宋"/>
                <w:snapToGrid w:val="0"/>
                <w:color w:val="000000"/>
                <w:spacing w:val="-14"/>
                <w:kern w:val="0"/>
                <w:sz w:val="24"/>
                <w:szCs w:val="24"/>
                <w:lang w:val="en-US" w:eastAsia="zh-CN" w:bidi="ar-SA"/>
              </w:rPr>
              <w:t>创</w:t>
            </w:r>
            <w:r>
              <w:rPr>
                <w:rFonts w:ascii="仿宋" w:hAnsi="仿宋" w:eastAsia="仿宋" w:cs="仿宋"/>
                <w:snapToGrid w:val="0"/>
                <w:color w:val="000000"/>
                <w:spacing w:val="-14"/>
                <w:kern w:val="0"/>
                <w:sz w:val="24"/>
                <w:szCs w:val="24"/>
                <w:lang w:val="en-US" w:eastAsia="zh-CN" w:bidi="ar-SA"/>
              </w:rPr>
              <w:t>新理念（5分）：新颖独特（3分），具有前瞻性（2分），不足酌情扣分。</w:t>
            </w:r>
          </w:p>
          <w:p w14:paraId="206AE9A6">
            <w:pPr>
              <w:keepNext w:val="0"/>
              <w:keepLines w:val="0"/>
              <w:widowControl/>
              <w:numPr>
                <w:ilvl w:val="0"/>
                <w:numId w:val="4"/>
              </w:numPr>
              <w:suppressLineNumbers w:val="0"/>
              <w:ind w:left="210" w:leftChars="0" w:firstLineChars="0"/>
              <w:jc w:val="both"/>
              <w:rPr>
                <w:sz w:val="24"/>
                <w:szCs w:val="24"/>
              </w:rPr>
            </w:pPr>
            <w:r>
              <w:rPr>
                <w:rFonts w:ascii="仿宋" w:hAnsi="仿宋" w:eastAsia="仿宋" w:cs="仿宋"/>
                <w:snapToGrid w:val="0"/>
                <w:color w:val="000000"/>
                <w:spacing w:val="-14"/>
                <w:kern w:val="0"/>
                <w:sz w:val="24"/>
                <w:szCs w:val="24"/>
                <w:lang w:val="en-US" w:eastAsia="zh-CN" w:bidi="ar-SA"/>
              </w:rPr>
              <w:t>创意实现（5分）：应用新技术（3分），完整呈现创意（2分），欠缺酌情扣分。</w:t>
            </w:r>
          </w:p>
        </w:tc>
        <w:tc>
          <w:tcPr>
            <w:tcW w:w="1027" w:type="dxa"/>
            <w:tcBorders>
              <w:tl2br w:val="nil"/>
              <w:tr2bl w:val="nil"/>
            </w:tcBorders>
            <w:noWrap w:val="0"/>
            <w:vAlign w:val="center"/>
          </w:tcPr>
          <w:p w14:paraId="7B71F3CC">
            <w:pPr>
              <w:spacing w:before="84" w:line="222" w:lineRule="auto"/>
              <w:jc w:val="center"/>
              <w:rPr>
                <w:rFonts w:hint="eastAsia" w:ascii="仿宋" w:hAnsi="仿宋" w:eastAsia="仿宋" w:cs="宋体"/>
                <w:b w:val="0"/>
                <w:bCs w:val="0"/>
                <w:snapToGrid w:val="0"/>
                <w:color w:val="000000"/>
                <w:kern w:val="0"/>
                <w:sz w:val="32"/>
                <w:szCs w:val="32"/>
                <w:lang w:val="en-US" w:eastAsia="zh-CN" w:bidi="ar-SA"/>
              </w:rPr>
            </w:pPr>
            <w:r>
              <w:rPr>
                <w:rFonts w:hint="eastAsia" w:ascii="仿宋" w:hAnsi="仿宋" w:eastAsia="仿宋" w:cs="宋体"/>
                <w:b w:val="0"/>
                <w:bCs w:val="0"/>
                <w:snapToGrid w:val="0"/>
                <w:color w:val="000000"/>
                <w:kern w:val="0"/>
                <w:sz w:val="32"/>
                <w:szCs w:val="32"/>
                <w:lang w:val="en-US" w:eastAsia="zh-CN" w:bidi="ar-SA"/>
              </w:rPr>
              <w:t>10%</w:t>
            </w:r>
          </w:p>
        </w:tc>
      </w:tr>
    </w:tbl>
    <w:p w14:paraId="744B43A8">
      <w:pPr>
        <w:spacing w:before="100" w:line="229" w:lineRule="auto"/>
        <w:ind w:left="682"/>
        <w:outlineLvl w:val="1"/>
        <w:rPr>
          <w:rFonts w:hint="eastAsia" w:ascii="楷体" w:hAnsi="楷体" w:eastAsia="楷体" w:cs="楷体"/>
          <w:spacing w:val="3"/>
          <w:sz w:val="31"/>
          <w:szCs w:val="31"/>
          <w:lang w:val="en-US" w:eastAsia="zh-CN"/>
        </w:rPr>
      </w:pPr>
    </w:p>
    <w:p w14:paraId="609E5364">
      <w:pPr>
        <w:spacing w:before="100" w:line="229" w:lineRule="auto"/>
        <w:ind w:left="682"/>
        <w:outlineLvl w:val="1"/>
        <w:rPr>
          <w:rFonts w:hint="eastAsia" w:ascii="楷体" w:hAnsi="楷体" w:eastAsia="楷体" w:cs="楷体"/>
          <w:spacing w:val="3"/>
          <w:sz w:val="31"/>
          <w:szCs w:val="31"/>
          <w:lang w:val="en-US" w:eastAsia="zh-CN"/>
        </w:rPr>
      </w:pPr>
    </w:p>
    <w:p w14:paraId="68664D57">
      <w:pPr>
        <w:pStyle w:val="2"/>
        <w:rPr>
          <w:rFonts w:hint="eastAsia" w:ascii="楷体" w:hAnsi="楷体" w:eastAsia="楷体" w:cs="楷体"/>
          <w:spacing w:val="3"/>
          <w:sz w:val="31"/>
          <w:szCs w:val="31"/>
          <w:lang w:val="en-US" w:eastAsia="zh-CN"/>
        </w:rPr>
      </w:pPr>
    </w:p>
    <w:p w14:paraId="70CE3CF6">
      <w:pPr>
        <w:rPr>
          <w:rFonts w:hint="eastAsia"/>
          <w:lang w:val="en-US" w:eastAsia="zh-CN"/>
        </w:rPr>
      </w:pPr>
    </w:p>
    <w:p w14:paraId="29A3D31B">
      <w:pPr>
        <w:spacing w:before="100" w:line="229" w:lineRule="auto"/>
        <w:ind w:left="682"/>
        <w:outlineLvl w:val="1"/>
        <w:rPr>
          <w:rFonts w:hint="eastAsia" w:ascii="楷体" w:hAnsi="楷体" w:eastAsia="楷体" w:cs="楷体"/>
          <w:spacing w:val="3"/>
          <w:sz w:val="31"/>
          <w:szCs w:val="31"/>
          <w:lang w:val="en-US" w:eastAsia="zh-CN"/>
        </w:rPr>
      </w:pPr>
      <w:r>
        <w:rPr>
          <w:rFonts w:hint="eastAsia" w:ascii="楷体" w:hAnsi="楷体" w:eastAsia="楷体" w:cs="楷体"/>
          <w:spacing w:val="3"/>
          <w:sz w:val="31"/>
          <w:szCs w:val="31"/>
          <w:lang w:val="en-US" w:eastAsia="zh-CN"/>
        </w:rPr>
        <w:t>（三）评分方式</w:t>
      </w:r>
    </w:p>
    <w:p w14:paraId="37AC2F7C">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本赛项采用现场评分方式评定成绩。成绩评定过程中的所有评分材料须由相应评分裁判签字确认，更正成绩需经裁判本人、裁判长在更正处签字。成绩评审全过程在监督员的监督下进行。</w:t>
      </w:r>
    </w:p>
    <w:p w14:paraId="77FEA62A">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1.参赛选手完成比赛后评分裁判采用百分制现场打分。</w:t>
      </w:r>
    </w:p>
    <w:p w14:paraId="639C5C64">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2.本赛项各组的比赛开始、结束的指令由统分裁判下达。比赛计时由统分裁判负责。</w:t>
      </w:r>
    </w:p>
    <w:p w14:paraId="5EB4AF63">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3.开始指令下达后，统分裁判开始计时，评分裁判开始依据评分要素评分。</w:t>
      </w:r>
    </w:p>
    <w:p w14:paraId="7FFCC215">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4.比赛时间结束后，裁判长（或统分裁判）应立即下达结束指令，比赛立即结束。</w:t>
      </w:r>
    </w:p>
    <w:p w14:paraId="0D8EDFE0">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5.统分裁判在记分表上记录各评分裁判的评分。</w:t>
      </w:r>
    </w:p>
    <w:p w14:paraId="2299007E">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6.各组全部参赛队比赛结束后，比赛成绩将由高到低进行排序，按照排名顺序确定最终奖项；如最终成绩出现并列，同分的队伍要素1（技能水平）得分高者名次在前；若要素1得分相同，要素2（职业素养）得分高者名次在前，以此类推；若所有要素评分都一致，裁判长组织评分裁判通过观看比赛原始录像，评选出名次。</w:t>
      </w:r>
    </w:p>
    <w:p w14:paraId="15D34A90">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裁判员将各参赛队伍（选手）成绩汇总成最终成绩单后，经裁判长、监督组长签字后公布比赛成绩。</w:t>
      </w:r>
    </w:p>
    <w:p w14:paraId="4E2E88E5">
      <w:pPr>
        <w:spacing w:before="174" w:line="227" w:lineRule="auto"/>
        <w:ind w:left="763"/>
        <w:rPr>
          <w:rFonts w:ascii="黑体" w:hAnsi="黑体" w:eastAsia="黑体" w:cs="黑体"/>
          <w:spacing w:val="7"/>
          <w:sz w:val="31"/>
          <w:szCs w:val="31"/>
        </w:rPr>
      </w:pPr>
    </w:p>
    <w:p w14:paraId="19CF55B1">
      <w:pPr>
        <w:spacing w:before="174" w:line="227" w:lineRule="auto"/>
        <w:rPr>
          <w:rFonts w:ascii="黑体" w:hAnsi="黑体" w:eastAsia="黑体" w:cs="黑体"/>
          <w:spacing w:val="7"/>
          <w:sz w:val="31"/>
          <w:szCs w:val="31"/>
        </w:rPr>
      </w:pPr>
    </w:p>
    <w:p w14:paraId="317D391A">
      <w:pPr>
        <w:spacing w:before="209" w:line="228" w:lineRule="auto"/>
        <w:ind w:left="634"/>
        <w:outlineLvl w:val="0"/>
        <w:rPr>
          <w:rFonts w:ascii="黑体" w:hAnsi="黑体" w:eastAsia="黑体" w:cs="黑体"/>
          <w:spacing w:val="8"/>
          <w:sz w:val="31"/>
          <w:szCs w:val="31"/>
        </w:rPr>
      </w:pPr>
      <w:r>
        <w:rPr>
          <w:rFonts w:ascii="黑体" w:hAnsi="黑体" w:eastAsia="黑体" w:cs="黑体"/>
          <w:spacing w:val="8"/>
          <w:sz w:val="31"/>
          <w:szCs w:val="31"/>
        </w:rPr>
        <w:t>九、奖项设置</w:t>
      </w:r>
    </w:p>
    <w:p w14:paraId="2C7737B0">
      <w:pPr>
        <w:spacing w:before="326" w:line="323" w:lineRule="auto"/>
        <w:ind w:left="135" w:right="109" w:firstLine="645"/>
        <w:jc w:val="both"/>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本赛项为团体赛，奖项设一二三等奖，获奖比例分别为平行组实际参赛队伍数量的10%、20%、30%（分别四舍五入取整数）。本赛项成绩作为选拔2025年陕西省职业院校技能大赛渭南市代表队的重要依据。</w:t>
      </w:r>
    </w:p>
    <w:p w14:paraId="24F75797">
      <w:pPr>
        <w:spacing w:before="209" w:line="228" w:lineRule="auto"/>
        <w:ind w:left="634"/>
        <w:outlineLvl w:val="0"/>
        <w:rPr>
          <w:rFonts w:ascii="黑体" w:hAnsi="黑体" w:eastAsia="黑体" w:cs="黑体"/>
          <w:spacing w:val="8"/>
          <w:sz w:val="31"/>
          <w:szCs w:val="31"/>
        </w:rPr>
      </w:pPr>
      <w:r>
        <w:rPr>
          <w:rFonts w:ascii="黑体" w:hAnsi="黑体" w:eastAsia="黑体" w:cs="黑体"/>
          <w:spacing w:val="8"/>
          <w:sz w:val="31"/>
          <w:szCs w:val="31"/>
        </w:rPr>
        <w:t>十、赛项安全管理</w:t>
      </w:r>
    </w:p>
    <w:p w14:paraId="3DF880D3">
      <w:pPr>
        <w:spacing w:before="338" w:line="299" w:lineRule="auto"/>
        <w:ind w:right="111" w:firstLine="645"/>
        <w:rPr>
          <w:rFonts w:ascii="仿宋" w:hAnsi="仿宋" w:eastAsia="仿宋" w:cs="仿宋"/>
          <w:sz w:val="31"/>
          <w:szCs w:val="31"/>
        </w:rPr>
      </w:pPr>
      <w:r>
        <w:rPr>
          <w:rFonts w:ascii="仿宋" w:hAnsi="仿宋" w:eastAsia="仿宋" w:cs="仿宋"/>
          <w:spacing w:val="4"/>
          <w:sz w:val="31"/>
          <w:szCs w:val="31"/>
        </w:rPr>
        <w:t>（一）承办学校须成立专门的安全管理机构，落实赛事筹备</w:t>
      </w:r>
      <w:r>
        <w:rPr>
          <w:rFonts w:ascii="仿宋" w:hAnsi="仿宋" w:eastAsia="仿宋" w:cs="仿宋"/>
          <w:spacing w:val="5"/>
          <w:sz w:val="31"/>
          <w:szCs w:val="31"/>
        </w:rPr>
        <w:t>和比赛期间的各项安全工作，承办学校主管领导为第一安全责任</w:t>
      </w:r>
      <w:r>
        <w:rPr>
          <w:rFonts w:ascii="仿宋" w:hAnsi="仿宋" w:eastAsia="仿宋" w:cs="仿宋"/>
          <w:spacing w:val="-7"/>
          <w:sz w:val="31"/>
          <w:szCs w:val="31"/>
        </w:rPr>
        <w:t>人。</w:t>
      </w:r>
    </w:p>
    <w:p w14:paraId="137F5024">
      <w:pPr>
        <w:spacing w:before="172" w:line="307" w:lineRule="auto"/>
        <w:ind w:firstLine="645"/>
        <w:rPr>
          <w:rFonts w:ascii="仿宋" w:hAnsi="仿宋" w:eastAsia="仿宋" w:cs="仿宋"/>
          <w:sz w:val="31"/>
          <w:szCs w:val="31"/>
        </w:rPr>
      </w:pPr>
      <w:r>
        <w:rPr>
          <w:rFonts w:ascii="仿宋" w:hAnsi="仿宋" w:eastAsia="仿宋" w:cs="仿宋"/>
          <w:spacing w:val="-3"/>
          <w:sz w:val="31"/>
          <w:szCs w:val="31"/>
        </w:rPr>
        <w:t>（二）比赛期间，参赛队的食宿原则上由承办学校</w:t>
      </w:r>
      <w:r>
        <w:rPr>
          <w:rFonts w:hint="eastAsia" w:ascii="仿宋" w:hAnsi="仿宋" w:eastAsia="仿宋" w:cs="仿宋"/>
          <w:spacing w:val="-3"/>
          <w:sz w:val="31"/>
          <w:szCs w:val="31"/>
          <w:lang w:eastAsia="zh-CN"/>
        </w:rPr>
        <w:t>推荐，参赛院校承担各自费用</w:t>
      </w:r>
      <w:r>
        <w:rPr>
          <w:rFonts w:ascii="仿宋" w:hAnsi="仿宋" w:eastAsia="仿宋" w:cs="仿宋"/>
          <w:spacing w:val="-3"/>
          <w:sz w:val="31"/>
          <w:szCs w:val="31"/>
        </w:rPr>
        <w:t>。</w:t>
      </w:r>
      <w:r>
        <w:rPr>
          <w:rFonts w:ascii="仿宋" w:hAnsi="仿宋" w:eastAsia="仿宋" w:cs="仿宋"/>
          <w:spacing w:val="5"/>
          <w:sz w:val="31"/>
          <w:szCs w:val="31"/>
        </w:rPr>
        <w:t>承办学校须尊重参赛人员的文化习俗，安排好参赛选手和指导教师等人员的饮食起居。比赛期间安排的住宿场所应具有旅游业经</w:t>
      </w:r>
      <w:r>
        <w:rPr>
          <w:rFonts w:ascii="仿宋" w:hAnsi="仿宋" w:eastAsia="仿宋" w:cs="仿宋"/>
          <w:spacing w:val="4"/>
          <w:sz w:val="31"/>
          <w:szCs w:val="31"/>
        </w:rPr>
        <w:t>营许可资质。</w:t>
      </w:r>
    </w:p>
    <w:p w14:paraId="640B3223">
      <w:pPr>
        <w:spacing w:before="172" w:line="313" w:lineRule="auto"/>
        <w:ind w:right="113" w:firstLine="645"/>
        <w:rPr>
          <w:rFonts w:ascii="仿宋" w:hAnsi="仿宋" w:eastAsia="仿宋" w:cs="仿宋"/>
          <w:sz w:val="31"/>
          <w:szCs w:val="31"/>
        </w:rPr>
      </w:pPr>
      <w:r>
        <w:rPr>
          <w:rFonts w:ascii="仿宋" w:hAnsi="仿宋" w:eastAsia="仿宋" w:cs="仿宋"/>
          <w:spacing w:val="4"/>
          <w:sz w:val="31"/>
          <w:szCs w:val="31"/>
        </w:rPr>
        <w:t>（三）参赛选手、裁判、工作人员严禁携带通讯、摄录设备</w:t>
      </w:r>
      <w:r>
        <w:rPr>
          <w:rFonts w:ascii="仿宋" w:hAnsi="仿宋" w:eastAsia="仿宋" w:cs="仿宋"/>
          <w:spacing w:val="5"/>
          <w:sz w:val="31"/>
          <w:szCs w:val="31"/>
        </w:rPr>
        <w:t>和未经许可的记录用具进入比赛区域。如确有需要，由承办学校统一配置，统一管理。承办学校可根据需要配置安检设备，对进入赛场重要区域的人员进行安检，可在赛场相关区域安放无线屏</w:t>
      </w:r>
      <w:r>
        <w:rPr>
          <w:rFonts w:ascii="仿宋" w:hAnsi="仿宋" w:eastAsia="仿宋" w:cs="仿宋"/>
          <w:spacing w:val="2"/>
          <w:sz w:val="31"/>
          <w:szCs w:val="31"/>
        </w:rPr>
        <w:t>蔽设备。</w:t>
      </w:r>
    </w:p>
    <w:p w14:paraId="5E30BE84">
      <w:pPr>
        <w:spacing w:before="179" w:line="307" w:lineRule="auto"/>
        <w:ind w:left="3" w:right="111" w:firstLine="641"/>
        <w:rPr>
          <w:rFonts w:ascii="仿宋" w:hAnsi="仿宋" w:eastAsia="仿宋" w:cs="仿宋"/>
          <w:spacing w:val="-2"/>
          <w:sz w:val="31"/>
          <w:szCs w:val="31"/>
        </w:rPr>
      </w:pPr>
      <w:r>
        <w:rPr>
          <w:rFonts w:ascii="仿宋" w:hAnsi="仿宋" w:eastAsia="仿宋" w:cs="仿宋"/>
          <w:spacing w:val="4"/>
          <w:sz w:val="31"/>
          <w:szCs w:val="31"/>
        </w:rPr>
        <w:t>（四）比赛期间，承办学校赛前须按照赛区执委会要求排除</w:t>
      </w:r>
      <w:r>
        <w:rPr>
          <w:rFonts w:ascii="仿宋" w:hAnsi="仿宋" w:eastAsia="仿宋" w:cs="仿宋"/>
          <w:spacing w:val="5"/>
          <w:sz w:val="31"/>
          <w:szCs w:val="31"/>
        </w:rPr>
        <w:t>安全隐患，须落实定点医院，并在赛场设置医疗医护工作</w:t>
      </w:r>
      <w:r>
        <w:rPr>
          <w:rFonts w:ascii="仿宋" w:hAnsi="仿宋" w:eastAsia="仿宋" w:cs="仿宋"/>
          <w:spacing w:val="4"/>
          <w:sz w:val="31"/>
          <w:szCs w:val="31"/>
        </w:rPr>
        <w:t>站。除</w:t>
      </w:r>
      <w:r>
        <w:rPr>
          <w:rFonts w:ascii="仿宋" w:hAnsi="仿宋" w:eastAsia="仿宋" w:cs="仿宋"/>
          <w:spacing w:val="5"/>
          <w:sz w:val="31"/>
          <w:szCs w:val="31"/>
        </w:rPr>
        <w:t>必要的安全隔离措施外，应严格遵守国家相关法律法规，保护个</w:t>
      </w:r>
      <w:r>
        <w:rPr>
          <w:rFonts w:ascii="仿宋" w:hAnsi="仿宋" w:eastAsia="仿宋" w:cs="仿宋"/>
          <w:spacing w:val="-2"/>
          <w:sz w:val="31"/>
          <w:szCs w:val="31"/>
        </w:rPr>
        <w:t>人隐私和人身</w:t>
      </w:r>
      <w:r>
        <w:rPr>
          <w:rFonts w:hint="eastAsia" w:ascii="仿宋" w:hAnsi="仿宋" w:eastAsia="仿宋" w:cs="仿宋"/>
          <w:spacing w:val="5"/>
          <w:sz w:val="31"/>
          <w:szCs w:val="31"/>
          <w:lang w:val="en-US" w:eastAsia="zh-CN"/>
        </w:rPr>
        <w:t>自</w:t>
      </w:r>
      <w:r>
        <w:rPr>
          <w:rFonts w:ascii="仿宋" w:hAnsi="仿宋" w:eastAsia="仿宋" w:cs="仿宋"/>
          <w:spacing w:val="5"/>
          <w:sz w:val="31"/>
          <w:szCs w:val="31"/>
        </w:rPr>
        <w:t>由</w:t>
      </w:r>
      <w:r>
        <w:rPr>
          <w:rFonts w:ascii="仿宋" w:hAnsi="仿宋" w:eastAsia="仿宋" w:cs="仿宋"/>
          <w:spacing w:val="-2"/>
          <w:sz w:val="31"/>
          <w:szCs w:val="31"/>
        </w:rPr>
        <w:t>。</w:t>
      </w:r>
    </w:p>
    <w:p w14:paraId="0459DF39">
      <w:pPr>
        <w:spacing w:before="179" w:line="307" w:lineRule="auto"/>
        <w:ind w:left="3" w:right="111" w:firstLine="641"/>
        <w:rPr>
          <w:rFonts w:ascii="仿宋" w:hAnsi="仿宋" w:eastAsia="仿宋" w:cs="仿宋"/>
          <w:sz w:val="31"/>
          <w:szCs w:val="31"/>
        </w:rPr>
        <w:sectPr>
          <w:pgSz w:w="11906" w:h="16839"/>
          <w:pgMar w:top="1431" w:right="1361" w:bottom="0" w:left="1607" w:header="0" w:footer="0" w:gutter="0"/>
          <w:pgBorders>
            <w:top w:val="none" w:sz="0" w:space="0"/>
            <w:left w:val="none" w:sz="0" w:space="0"/>
            <w:bottom w:val="none" w:sz="0" w:space="0"/>
            <w:right w:val="none" w:sz="0" w:space="0"/>
          </w:pgBorders>
          <w:cols w:space="720" w:num="1"/>
        </w:sectPr>
      </w:pPr>
      <w:r>
        <w:rPr>
          <w:rFonts w:ascii="仿宋" w:hAnsi="仿宋" w:eastAsia="仿宋" w:cs="仿宋"/>
          <w:spacing w:val="7"/>
          <w:sz w:val="31"/>
          <w:szCs w:val="31"/>
        </w:rPr>
        <w:t>（五）承办学校须建立信息联络通知渠道，加</w:t>
      </w:r>
      <w:r>
        <w:rPr>
          <w:rFonts w:ascii="仿宋" w:hAnsi="仿宋" w:eastAsia="仿宋" w:cs="仿宋"/>
          <w:spacing w:val="6"/>
          <w:sz w:val="31"/>
          <w:szCs w:val="31"/>
        </w:rPr>
        <w:t>强对微信群、</w:t>
      </w:r>
      <w:r>
        <w:rPr>
          <w:rFonts w:ascii="仿宋" w:hAnsi="仿宋" w:eastAsia="仿宋" w:cs="仿宋"/>
          <w:sz w:val="31"/>
          <w:szCs w:val="31"/>
        </w:rPr>
        <w:t>QQ</w:t>
      </w:r>
      <w:r>
        <w:rPr>
          <w:rFonts w:ascii="仿宋" w:hAnsi="仿宋" w:eastAsia="仿宋" w:cs="仿宋"/>
          <w:spacing w:val="14"/>
          <w:sz w:val="31"/>
          <w:szCs w:val="31"/>
        </w:rPr>
        <w:t>群、钉钉群等网络平台的使用管理，做好赛前</w:t>
      </w:r>
      <w:r>
        <w:rPr>
          <w:rFonts w:ascii="仿宋" w:hAnsi="仿宋" w:eastAsia="仿宋" w:cs="仿宋"/>
          <w:spacing w:val="13"/>
          <w:sz w:val="31"/>
          <w:szCs w:val="31"/>
        </w:rPr>
        <w:t>、赛中、赛后</w:t>
      </w:r>
      <w:r>
        <w:rPr>
          <w:rFonts w:ascii="仿宋" w:hAnsi="仿宋" w:eastAsia="仿宋" w:cs="仿宋"/>
          <w:spacing w:val="9"/>
          <w:sz w:val="31"/>
          <w:szCs w:val="31"/>
        </w:rPr>
        <w:t>的舆情监控，确保赛事活动平稳、安全、有序开展。</w:t>
      </w:r>
    </w:p>
    <w:p w14:paraId="1B35C810">
      <w:pPr>
        <w:spacing w:before="215" w:line="226" w:lineRule="auto"/>
        <w:ind w:left="648"/>
        <w:outlineLvl w:val="0"/>
        <w:rPr>
          <w:rFonts w:ascii="黑体" w:hAnsi="黑体" w:eastAsia="黑体" w:cs="黑体"/>
          <w:sz w:val="31"/>
          <w:szCs w:val="31"/>
        </w:rPr>
      </w:pPr>
      <w:r>
        <w:rPr>
          <w:rFonts w:ascii="黑体" w:hAnsi="黑体" w:eastAsia="黑体" w:cs="黑体"/>
          <w:spacing w:val="8"/>
          <w:sz w:val="31"/>
          <w:szCs w:val="31"/>
        </w:rPr>
        <w:t>十一、申诉与仲裁的程序</w:t>
      </w:r>
    </w:p>
    <w:p w14:paraId="2C032296">
      <w:pPr>
        <w:spacing w:before="337" w:line="279" w:lineRule="auto"/>
        <w:ind w:right="105" w:firstLine="636" w:firstLineChars="200"/>
        <w:rPr>
          <w:rFonts w:ascii="仿宋" w:hAnsi="仿宋" w:eastAsia="仿宋" w:cs="仿宋"/>
          <w:sz w:val="31"/>
          <w:szCs w:val="31"/>
        </w:rPr>
      </w:pPr>
      <w:r>
        <w:rPr>
          <w:rFonts w:ascii="仿宋" w:hAnsi="仿宋" w:eastAsia="仿宋" w:cs="仿宋"/>
          <w:spacing w:val="4"/>
          <w:sz w:val="31"/>
          <w:szCs w:val="31"/>
        </w:rPr>
        <w:t>（一）赛前承办校赛事组委会应向参赛队伍和工作人员公布</w:t>
      </w:r>
      <w:r>
        <w:rPr>
          <w:rFonts w:ascii="仿宋" w:hAnsi="仿宋" w:eastAsia="仿宋" w:cs="仿宋"/>
          <w:spacing w:val="6"/>
          <w:sz w:val="31"/>
          <w:szCs w:val="31"/>
        </w:rPr>
        <w:t>申诉渠道、联系人、联系方式、工作地点等信息。</w:t>
      </w:r>
    </w:p>
    <w:p w14:paraId="3D00A90C">
      <w:pPr>
        <w:spacing w:before="182" w:line="298" w:lineRule="auto"/>
        <w:ind w:firstLine="608" w:firstLineChars="200"/>
        <w:rPr>
          <w:rFonts w:ascii="仿宋" w:hAnsi="仿宋" w:eastAsia="仿宋" w:cs="仿宋"/>
          <w:sz w:val="31"/>
          <w:szCs w:val="31"/>
        </w:rPr>
      </w:pPr>
      <w:r>
        <w:rPr>
          <w:rFonts w:ascii="仿宋" w:hAnsi="仿宋" w:eastAsia="仿宋" w:cs="仿宋"/>
          <w:spacing w:val="-3"/>
          <w:sz w:val="31"/>
          <w:szCs w:val="31"/>
        </w:rPr>
        <w:t>（二）参赛队对设施配备、比赛执裁、赛场</w:t>
      </w:r>
      <w:r>
        <w:rPr>
          <w:rFonts w:ascii="仿宋" w:hAnsi="仿宋" w:eastAsia="仿宋" w:cs="仿宋"/>
          <w:spacing w:val="-4"/>
          <w:sz w:val="31"/>
          <w:szCs w:val="31"/>
        </w:rPr>
        <w:t>管理、成绩评定，</w:t>
      </w:r>
      <w:r>
        <w:rPr>
          <w:rFonts w:ascii="仿宋" w:hAnsi="仿宋" w:eastAsia="仿宋" w:cs="仿宋"/>
          <w:spacing w:val="-2"/>
          <w:sz w:val="31"/>
          <w:szCs w:val="31"/>
        </w:rPr>
        <w:t>以及工作人员不规范行为等，可向赛项裁判长</w:t>
      </w:r>
      <w:r>
        <w:rPr>
          <w:rFonts w:ascii="仿宋" w:hAnsi="仿宋" w:eastAsia="仿宋" w:cs="仿宋"/>
          <w:spacing w:val="-3"/>
          <w:sz w:val="31"/>
          <w:szCs w:val="31"/>
        </w:rPr>
        <w:t>、大赛裁判委员会、</w:t>
      </w:r>
      <w:r>
        <w:rPr>
          <w:rFonts w:ascii="仿宋" w:hAnsi="仿宋" w:eastAsia="仿宋" w:cs="仿宋"/>
          <w:spacing w:val="6"/>
          <w:sz w:val="31"/>
          <w:szCs w:val="31"/>
        </w:rPr>
        <w:t>大赛仲裁委员会提出申诉。</w:t>
      </w:r>
    </w:p>
    <w:p w14:paraId="367FAE53">
      <w:pPr>
        <w:spacing w:before="178" w:line="228" w:lineRule="auto"/>
        <w:ind w:firstLine="624" w:firstLineChars="200"/>
        <w:rPr>
          <w:rFonts w:ascii="仿宋" w:hAnsi="仿宋" w:eastAsia="仿宋" w:cs="仿宋"/>
          <w:sz w:val="31"/>
          <w:szCs w:val="31"/>
        </w:rPr>
      </w:pPr>
      <w:r>
        <w:rPr>
          <w:rFonts w:ascii="仿宋" w:hAnsi="仿宋" w:eastAsia="仿宋" w:cs="仿宋"/>
          <w:spacing w:val="1"/>
          <w:sz w:val="31"/>
          <w:szCs w:val="31"/>
        </w:rPr>
        <w:t>（三）申诉主体为参赛队领队。</w:t>
      </w:r>
    </w:p>
    <w:p w14:paraId="05132013">
      <w:pPr>
        <w:spacing w:before="175" w:line="310" w:lineRule="auto"/>
        <w:ind w:right="102" w:firstLine="636" w:firstLineChars="200"/>
        <w:rPr>
          <w:rFonts w:ascii="仿宋" w:hAnsi="仿宋" w:eastAsia="仿宋" w:cs="仿宋"/>
          <w:sz w:val="31"/>
          <w:szCs w:val="31"/>
        </w:rPr>
      </w:pPr>
      <w:r>
        <w:rPr>
          <w:rFonts w:ascii="仿宋" w:hAnsi="仿宋" w:eastAsia="仿宋" w:cs="仿宋"/>
          <w:spacing w:val="4"/>
          <w:sz w:val="31"/>
          <w:szCs w:val="31"/>
        </w:rPr>
        <w:t>（四）申诉启动时，参赛队以该赛项领队亲笔签字同意的书</w:t>
      </w:r>
      <w:r>
        <w:rPr>
          <w:rFonts w:ascii="仿宋" w:hAnsi="仿宋" w:eastAsia="仿宋" w:cs="仿宋"/>
          <w:spacing w:val="5"/>
          <w:sz w:val="31"/>
          <w:szCs w:val="31"/>
        </w:rPr>
        <w:t>面报告递交材料。报告应对申诉事件的现象、发生时间、涉及人员、申诉依据等进行充分、实事求是</w:t>
      </w:r>
      <w:r>
        <w:rPr>
          <w:rFonts w:hint="eastAsia" w:ascii="仿宋" w:hAnsi="仿宋" w:eastAsia="仿宋" w:cs="仿宋"/>
          <w:spacing w:val="5"/>
          <w:sz w:val="31"/>
          <w:szCs w:val="31"/>
          <w:lang w:eastAsia="zh-CN"/>
        </w:rPr>
        <w:t>地</w:t>
      </w:r>
      <w:r>
        <w:rPr>
          <w:rFonts w:ascii="仿宋" w:hAnsi="仿宋" w:eastAsia="仿宋" w:cs="仿宋"/>
          <w:spacing w:val="5"/>
          <w:sz w:val="31"/>
          <w:szCs w:val="31"/>
        </w:rPr>
        <w:t>叙述。非书面申诉不予受</w:t>
      </w:r>
      <w:r>
        <w:rPr>
          <w:rFonts w:ascii="仿宋" w:hAnsi="仿宋" w:eastAsia="仿宋" w:cs="仿宋"/>
          <w:spacing w:val="-8"/>
          <w:sz w:val="31"/>
          <w:szCs w:val="31"/>
        </w:rPr>
        <w:t>理。</w:t>
      </w:r>
    </w:p>
    <w:p w14:paraId="24FC18CC">
      <w:pPr>
        <w:spacing w:before="159" w:line="281" w:lineRule="auto"/>
        <w:ind w:right="105" w:firstLine="636" w:firstLineChars="200"/>
        <w:rPr>
          <w:rFonts w:ascii="仿宋" w:hAnsi="仿宋" w:eastAsia="仿宋" w:cs="仿宋"/>
          <w:sz w:val="31"/>
          <w:szCs w:val="31"/>
        </w:rPr>
      </w:pPr>
      <w:r>
        <w:rPr>
          <w:rFonts w:ascii="仿宋" w:hAnsi="仿宋" w:eastAsia="仿宋" w:cs="仿宋"/>
          <w:spacing w:val="4"/>
          <w:sz w:val="31"/>
          <w:szCs w:val="31"/>
        </w:rPr>
        <w:t>（五）提出申诉的时间应在比赛结束后（选手赛场比赛内容</w:t>
      </w:r>
      <w:r>
        <w:rPr>
          <w:rFonts w:ascii="仿宋" w:hAnsi="仿宋" w:eastAsia="仿宋" w:cs="仿宋"/>
          <w:spacing w:val="6"/>
          <w:sz w:val="31"/>
          <w:szCs w:val="31"/>
        </w:rPr>
        <w:t>全部完成）</w:t>
      </w:r>
      <w:r>
        <w:rPr>
          <w:rFonts w:ascii="Times New Roman" w:hAnsi="Times New Roman" w:eastAsia="Times New Roman" w:cs="Times New Roman"/>
          <w:spacing w:val="6"/>
          <w:sz w:val="31"/>
          <w:szCs w:val="31"/>
        </w:rPr>
        <w:t>2</w:t>
      </w:r>
      <w:r>
        <w:rPr>
          <w:rFonts w:ascii="仿宋" w:hAnsi="仿宋" w:eastAsia="仿宋" w:cs="仿宋"/>
          <w:spacing w:val="6"/>
          <w:sz w:val="31"/>
          <w:szCs w:val="31"/>
        </w:rPr>
        <w:t>小时内，超过时效不予受理。</w:t>
      </w:r>
    </w:p>
    <w:p w14:paraId="25612D86">
      <w:pPr>
        <w:spacing w:before="175" w:line="316" w:lineRule="auto"/>
        <w:ind w:right="60" w:firstLine="652" w:firstLineChars="200"/>
        <w:rPr>
          <w:rFonts w:ascii="仿宋" w:hAnsi="仿宋" w:eastAsia="仿宋" w:cs="仿宋"/>
          <w:sz w:val="31"/>
          <w:szCs w:val="31"/>
        </w:rPr>
      </w:pPr>
      <w:r>
        <w:rPr>
          <w:rFonts w:ascii="仿宋" w:hAnsi="仿宋" w:eastAsia="仿宋" w:cs="仿宋"/>
          <w:spacing w:val="8"/>
          <w:sz w:val="31"/>
          <w:szCs w:val="31"/>
        </w:rPr>
        <w:t>（六）赛项裁判长在接到申诉报告后的</w:t>
      </w:r>
      <w:r>
        <w:rPr>
          <w:rFonts w:ascii="Times New Roman" w:hAnsi="Times New Roman" w:eastAsia="Times New Roman" w:cs="Times New Roman"/>
          <w:spacing w:val="8"/>
          <w:sz w:val="31"/>
          <w:szCs w:val="31"/>
        </w:rPr>
        <w:t>2</w:t>
      </w:r>
      <w:r>
        <w:rPr>
          <w:rFonts w:ascii="仿宋" w:hAnsi="仿宋" w:eastAsia="仿宋" w:cs="仿宋"/>
          <w:spacing w:val="8"/>
          <w:sz w:val="31"/>
          <w:szCs w:val="31"/>
        </w:rPr>
        <w:t>小时内组织复议，</w:t>
      </w:r>
      <w:r>
        <w:rPr>
          <w:rFonts w:ascii="仿宋" w:hAnsi="仿宋" w:eastAsia="仿宋" w:cs="仿宋"/>
          <w:spacing w:val="5"/>
          <w:sz w:val="31"/>
          <w:szCs w:val="31"/>
        </w:rPr>
        <w:t>并及时将复议结果以书面形式告知申诉方。申诉方对复议结果仍有异议，可由该赛项领队代表参赛学校递交加盖学校公章的书面报告向大赛裁判委员会提出申诉，裁判委员会在接到申诉后两日</w:t>
      </w:r>
      <w:r>
        <w:rPr>
          <w:rFonts w:ascii="仿宋" w:hAnsi="仿宋" w:eastAsia="仿宋" w:cs="仿宋"/>
          <w:spacing w:val="7"/>
          <w:sz w:val="31"/>
          <w:szCs w:val="31"/>
        </w:rPr>
        <w:t>内将裁决结果告知申诉方；若申诉方对裁判委员</w:t>
      </w:r>
      <w:r>
        <w:rPr>
          <w:rFonts w:ascii="仿宋" w:hAnsi="仿宋" w:eastAsia="仿宋" w:cs="仿宋"/>
          <w:spacing w:val="6"/>
          <w:sz w:val="31"/>
          <w:szCs w:val="31"/>
        </w:rPr>
        <w:t>会裁决有异议，</w:t>
      </w:r>
      <w:r>
        <w:rPr>
          <w:rFonts w:ascii="仿宋" w:hAnsi="仿宋" w:eastAsia="仿宋" w:cs="仿宋"/>
          <w:spacing w:val="17"/>
          <w:sz w:val="31"/>
          <w:szCs w:val="31"/>
        </w:rPr>
        <w:t>可由参赛学校递交加盖学校公章的书面报告向大赛仲</w:t>
      </w:r>
      <w:r>
        <w:rPr>
          <w:rFonts w:ascii="仿宋" w:hAnsi="仿宋" w:eastAsia="仿宋" w:cs="仿宋"/>
          <w:spacing w:val="16"/>
          <w:sz w:val="31"/>
          <w:szCs w:val="31"/>
        </w:rPr>
        <w:t>裁委员会</w:t>
      </w:r>
      <w:r>
        <w:rPr>
          <w:rFonts w:ascii="仿宋" w:hAnsi="仿宋" w:eastAsia="仿宋" w:cs="仿宋"/>
          <w:spacing w:val="8"/>
          <w:sz w:val="31"/>
          <w:szCs w:val="31"/>
        </w:rPr>
        <w:t>提出申诉，大赛仲裁委员会的仲裁结果为最终结果。</w:t>
      </w:r>
    </w:p>
    <w:p w14:paraId="3D58000B">
      <w:pPr>
        <w:spacing w:before="179" w:line="297" w:lineRule="auto"/>
        <w:ind w:firstLine="636" w:firstLineChars="200"/>
        <w:rPr>
          <w:rFonts w:ascii="仿宋" w:hAnsi="仿宋" w:eastAsia="仿宋" w:cs="仿宋"/>
          <w:sz w:val="31"/>
          <w:szCs w:val="31"/>
        </w:rPr>
      </w:pPr>
      <w:r>
        <w:rPr>
          <w:rFonts w:ascii="仿宋" w:hAnsi="仿宋" w:eastAsia="仿宋" w:cs="仿宋"/>
          <w:spacing w:val="4"/>
          <w:sz w:val="31"/>
          <w:szCs w:val="31"/>
        </w:rPr>
        <w:t>（七）申诉方不得以任何理由拒绝接收仲裁结果；不得以任</w:t>
      </w:r>
      <w:r>
        <w:rPr>
          <w:rFonts w:ascii="仿宋" w:hAnsi="仿宋" w:eastAsia="仿宋" w:cs="仿宋"/>
          <w:spacing w:val="5"/>
          <w:sz w:val="31"/>
          <w:szCs w:val="31"/>
        </w:rPr>
        <w:t>何理由采取过激行为扰乱赛场秩序；仲裁结果由申诉人签收，不</w:t>
      </w:r>
      <w:r>
        <w:rPr>
          <w:rFonts w:ascii="仿宋" w:hAnsi="仿宋" w:eastAsia="仿宋" w:cs="仿宋"/>
          <w:spacing w:val="7"/>
          <w:sz w:val="31"/>
          <w:szCs w:val="31"/>
        </w:rPr>
        <w:t>能代收；如在约定时间和地点申诉人离开，视为自行放弃申诉。</w:t>
      </w:r>
    </w:p>
    <w:p w14:paraId="2321B218">
      <w:pPr>
        <w:spacing w:before="181" w:line="228" w:lineRule="auto"/>
        <w:ind w:firstLine="628" w:firstLineChars="200"/>
        <w:rPr>
          <w:rFonts w:ascii="仿宋" w:hAnsi="仿宋" w:eastAsia="仿宋" w:cs="仿宋"/>
          <w:sz w:val="31"/>
          <w:szCs w:val="31"/>
        </w:rPr>
      </w:pPr>
      <w:r>
        <w:rPr>
          <w:rFonts w:ascii="仿宋" w:hAnsi="仿宋" w:eastAsia="仿宋" w:cs="仿宋"/>
          <w:spacing w:val="2"/>
          <w:sz w:val="31"/>
          <w:szCs w:val="31"/>
        </w:rPr>
        <w:t>（八）申诉方可随时提出放弃申诉。</w:t>
      </w:r>
    </w:p>
    <w:p w14:paraId="06EBA1AF">
      <w:pPr>
        <w:spacing w:before="174" w:line="299" w:lineRule="auto"/>
        <w:ind w:right="68" w:firstLine="672" w:firstLineChars="200"/>
        <w:rPr>
          <w:rFonts w:ascii="仿宋" w:hAnsi="仿宋" w:eastAsia="仿宋" w:cs="仿宋"/>
          <w:sz w:val="31"/>
          <w:szCs w:val="31"/>
        </w:rPr>
      </w:pPr>
      <w:r>
        <w:rPr>
          <w:rFonts w:ascii="仿宋" w:hAnsi="仿宋" w:eastAsia="仿宋" w:cs="仿宋"/>
          <w:spacing w:val="13"/>
          <w:sz w:val="31"/>
          <w:szCs w:val="31"/>
        </w:rPr>
        <w:t>（九）申诉方必须提供真实的申诉信息并严格遵守申诉程</w:t>
      </w:r>
      <w:r>
        <w:rPr>
          <w:rFonts w:ascii="仿宋" w:hAnsi="仿宋" w:eastAsia="仿宋" w:cs="仿宋"/>
          <w:spacing w:val="5"/>
          <w:sz w:val="31"/>
          <w:szCs w:val="31"/>
        </w:rPr>
        <w:t>序，提出无理申诉或采取过激行为扰乱赛场秩序的应给予取消参赛成绩等处罚。</w:t>
      </w:r>
    </w:p>
    <w:p w14:paraId="608DA750">
      <w:pPr>
        <w:spacing w:before="210" w:line="226" w:lineRule="auto"/>
        <w:ind w:left="636"/>
        <w:outlineLvl w:val="0"/>
        <w:rPr>
          <w:rFonts w:ascii="黑体" w:hAnsi="黑体" w:eastAsia="黑体" w:cs="黑体"/>
          <w:sz w:val="31"/>
          <w:szCs w:val="31"/>
        </w:rPr>
      </w:pPr>
      <w:r>
        <w:rPr>
          <w:rFonts w:ascii="黑体" w:hAnsi="黑体" w:eastAsia="黑体" w:cs="黑体"/>
          <w:spacing w:val="7"/>
          <w:sz w:val="31"/>
          <w:szCs w:val="31"/>
        </w:rPr>
        <w:t>十</w:t>
      </w:r>
      <w:r>
        <w:rPr>
          <w:rFonts w:hint="eastAsia" w:ascii="黑体" w:hAnsi="黑体" w:eastAsia="黑体" w:cs="黑体"/>
          <w:spacing w:val="7"/>
          <w:sz w:val="31"/>
          <w:szCs w:val="31"/>
          <w:lang w:eastAsia="zh-CN"/>
        </w:rPr>
        <w:t>二</w:t>
      </w:r>
      <w:r>
        <w:rPr>
          <w:rFonts w:ascii="黑体" w:hAnsi="黑体" w:eastAsia="黑体" w:cs="黑体"/>
          <w:spacing w:val="7"/>
          <w:sz w:val="31"/>
          <w:szCs w:val="31"/>
        </w:rPr>
        <w:t>、竞赛须知</w:t>
      </w:r>
    </w:p>
    <w:p w14:paraId="19829DD5">
      <w:pPr>
        <w:spacing w:before="175" w:line="316" w:lineRule="auto"/>
        <w:ind w:left="8" w:right="60" w:firstLine="648"/>
        <w:rPr>
          <w:rFonts w:ascii="仿宋" w:hAnsi="仿宋" w:eastAsia="仿宋" w:cs="仿宋"/>
          <w:spacing w:val="5"/>
          <w:sz w:val="31"/>
          <w:szCs w:val="31"/>
        </w:rPr>
      </w:pPr>
      <w:r>
        <w:rPr>
          <w:rFonts w:ascii="仿宋" w:hAnsi="仿宋" w:eastAsia="仿宋" w:cs="仿宋"/>
          <w:spacing w:val="5"/>
          <w:sz w:val="31"/>
          <w:szCs w:val="31"/>
        </w:rPr>
        <w:t>（一）大赛人员须知。</w:t>
      </w:r>
    </w:p>
    <w:p w14:paraId="70314D89">
      <w:pPr>
        <w:spacing w:before="175" w:line="316" w:lineRule="auto"/>
        <w:ind w:left="8" w:right="60" w:firstLine="648"/>
        <w:rPr>
          <w:rFonts w:ascii="仿宋" w:hAnsi="仿宋" w:eastAsia="仿宋" w:cs="仿宋"/>
          <w:spacing w:val="5"/>
          <w:sz w:val="31"/>
          <w:szCs w:val="31"/>
        </w:rPr>
      </w:pPr>
      <w:r>
        <w:rPr>
          <w:rFonts w:ascii="仿宋" w:hAnsi="仿宋" w:eastAsia="仿宋" w:cs="仿宋"/>
          <w:spacing w:val="5"/>
          <w:sz w:val="31"/>
          <w:szCs w:val="31"/>
        </w:rPr>
        <w:t>为确保大赛工作安全、有序开展，涉及大赛工作的人员应自查健康状况，一旦发现身体有不适症状，及时向所在单位报告，并尽快就诊检查。</w:t>
      </w:r>
    </w:p>
    <w:p w14:paraId="0F8695E3">
      <w:pPr>
        <w:spacing w:before="175" w:line="316" w:lineRule="auto"/>
        <w:ind w:left="8" w:right="60" w:firstLine="648"/>
        <w:rPr>
          <w:rFonts w:ascii="仿宋" w:hAnsi="仿宋" w:eastAsia="仿宋" w:cs="仿宋"/>
          <w:spacing w:val="5"/>
          <w:sz w:val="31"/>
          <w:szCs w:val="31"/>
        </w:rPr>
      </w:pPr>
      <w:r>
        <w:rPr>
          <w:rFonts w:ascii="仿宋" w:hAnsi="仿宋" w:eastAsia="仿宋" w:cs="仿宋"/>
          <w:spacing w:val="5"/>
          <w:sz w:val="31"/>
          <w:szCs w:val="31"/>
        </w:rPr>
        <w:t>（二）参赛队须知。</w:t>
      </w:r>
    </w:p>
    <w:p w14:paraId="32FD3BB5">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1.参赛队名称统一使用选手所在学校全称，团体赛不接受跨校组队报名。</w:t>
      </w:r>
    </w:p>
    <w:p w14:paraId="3015F85C">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2.参赛选手在报名资格审查通过后，原则上不再更换，如备赛过程中，选手因身患疾病或不可抗拒原因不能参赛，所在学校需于开赛10个工作日前出具书面报告并按相关参赛选手资格补充人员并接受审核。竞赛开始后，参赛队不得更换参赛选手，若有参赛队员缺席，则视为自动放弃竞赛团体名次排名</w:t>
      </w:r>
      <w:r>
        <w:rPr>
          <w:rFonts w:hint="eastAsia" w:ascii="仿宋" w:hAnsi="仿宋" w:eastAsia="仿宋" w:cs="仿宋"/>
          <w:spacing w:val="5"/>
          <w:sz w:val="31"/>
          <w:szCs w:val="31"/>
          <w:lang w:eastAsia="zh-CN"/>
        </w:rPr>
        <w:t>。</w:t>
      </w:r>
    </w:p>
    <w:p w14:paraId="1E397727">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3.参赛队对大赛组委会发布的所有文件都要仔细阅读，确切了解大赛时间安排、评判细节等，以保证顺利参加比赛。</w:t>
      </w:r>
    </w:p>
    <w:p w14:paraId="447B9FB5">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4.参赛队按照大赛赛程安排，凭有效身份证件、大赛组委会颁发的参赛证参加竞赛及相关活动。</w:t>
      </w:r>
    </w:p>
    <w:p w14:paraId="6A8458F6">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5.参赛队将通过抽签决定比赛场地和比赛顺序。</w:t>
      </w:r>
    </w:p>
    <w:p w14:paraId="3015A799">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6.对于本规则没有规定的行为，裁判组有权作出裁决。在有争议的情况下，大赛仲裁委员会的裁决是最终裁决。</w:t>
      </w:r>
    </w:p>
    <w:p w14:paraId="6A9685C5">
      <w:pPr>
        <w:spacing w:before="175" w:line="316" w:lineRule="auto"/>
        <w:ind w:leftChars="100" w:right="60" w:firstLine="640" w:firstLineChars="200"/>
        <w:rPr>
          <w:rFonts w:ascii="仿宋" w:hAnsi="仿宋" w:eastAsia="仿宋" w:cs="仿宋"/>
          <w:spacing w:val="5"/>
          <w:sz w:val="31"/>
          <w:szCs w:val="31"/>
        </w:rPr>
      </w:pPr>
      <w:r>
        <w:rPr>
          <w:rFonts w:ascii="仿宋" w:hAnsi="仿宋" w:eastAsia="仿宋" w:cs="仿宋"/>
          <w:spacing w:val="5"/>
          <w:sz w:val="31"/>
          <w:szCs w:val="31"/>
        </w:rPr>
        <w:t>7.本竞赛项目的解释权归大赛组委会。</w:t>
      </w:r>
    </w:p>
    <w:p w14:paraId="37D1FE6E">
      <w:pPr>
        <w:spacing w:before="175" w:line="316" w:lineRule="auto"/>
        <w:ind w:left="8" w:right="60" w:firstLine="648"/>
        <w:rPr>
          <w:rFonts w:ascii="仿宋" w:hAnsi="仿宋" w:eastAsia="仿宋" w:cs="仿宋"/>
          <w:spacing w:val="5"/>
          <w:sz w:val="31"/>
          <w:szCs w:val="31"/>
        </w:rPr>
      </w:pPr>
      <w:r>
        <w:rPr>
          <w:rFonts w:ascii="仿宋" w:hAnsi="仿宋" w:eastAsia="仿宋" w:cs="仿宋"/>
          <w:spacing w:val="5"/>
          <w:sz w:val="31"/>
          <w:szCs w:val="31"/>
        </w:rPr>
        <w:t>（三）指导教师、赛项领队须知。</w:t>
      </w:r>
    </w:p>
    <w:p w14:paraId="27B3315C">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1.做好赛前抽签工作，确认比赛出场顺序，协助大赛承办单位组织好本单位选手参赛。</w:t>
      </w:r>
    </w:p>
    <w:p w14:paraId="180981DA">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2.做好本单位参赛选手的业务辅导、心理疏导和思想引导工作，对参赛选手比赛过程</w:t>
      </w:r>
      <w:r>
        <w:rPr>
          <w:rFonts w:hint="eastAsia" w:ascii="仿宋" w:hAnsi="仿宋" w:eastAsia="仿宋" w:cs="仿宋"/>
          <w:spacing w:val="5"/>
          <w:sz w:val="31"/>
          <w:szCs w:val="31"/>
          <w:lang w:val="en-US" w:eastAsia="zh-CN"/>
        </w:rPr>
        <w:t>报</w:t>
      </w:r>
      <w:r>
        <w:rPr>
          <w:rFonts w:hint="eastAsia" w:ascii="仿宋" w:hAnsi="仿宋" w:eastAsia="仿宋" w:cs="仿宋"/>
          <w:spacing w:val="5"/>
          <w:sz w:val="31"/>
          <w:szCs w:val="31"/>
          <w:lang w:eastAsia="zh-CN"/>
        </w:rPr>
        <w:t>以</w:t>
      </w:r>
      <w:r>
        <w:rPr>
          <w:rFonts w:ascii="仿宋" w:hAnsi="仿宋" w:eastAsia="仿宋" w:cs="仿宋"/>
          <w:spacing w:val="5"/>
          <w:sz w:val="31"/>
          <w:szCs w:val="31"/>
        </w:rPr>
        <w:t>平和、包容的心态，共同维护竞赛秩序。</w:t>
      </w:r>
    </w:p>
    <w:p w14:paraId="22564D24">
      <w:pPr>
        <w:spacing w:before="175" w:line="316" w:lineRule="auto"/>
        <w:ind w:right="60" w:firstLine="640" w:firstLineChars="200"/>
        <w:jc w:val="left"/>
        <w:rPr>
          <w:rFonts w:ascii="仿宋" w:hAnsi="仿宋" w:eastAsia="仿宋" w:cs="仿宋"/>
          <w:spacing w:val="5"/>
          <w:sz w:val="31"/>
          <w:szCs w:val="31"/>
        </w:rPr>
      </w:pPr>
      <w:r>
        <w:rPr>
          <w:rFonts w:ascii="仿宋" w:hAnsi="仿宋" w:eastAsia="仿宋" w:cs="仿宋"/>
          <w:spacing w:val="5"/>
          <w:sz w:val="31"/>
          <w:szCs w:val="31"/>
        </w:rPr>
        <w:t>3.自觉遵守竞赛规则，尊重和支持裁判工作，不随意进入比赛现场及其他禁止入内的区域，确保比赛进程的公平、公正、顺畅、高效。</w:t>
      </w:r>
    </w:p>
    <w:p w14:paraId="393539AB">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4.做好参赛队伍比赛全过程管理和出行安全教育。</w:t>
      </w:r>
    </w:p>
    <w:p w14:paraId="7C1A76BD">
      <w:pPr>
        <w:spacing w:before="175" w:line="316" w:lineRule="auto"/>
        <w:ind w:left="8" w:right="60" w:firstLine="648"/>
        <w:rPr>
          <w:rFonts w:ascii="仿宋" w:hAnsi="仿宋" w:eastAsia="仿宋" w:cs="仿宋"/>
          <w:spacing w:val="5"/>
          <w:sz w:val="31"/>
          <w:szCs w:val="31"/>
        </w:rPr>
      </w:pPr>
      <w:r>
        <w:rPr>
          <w:rFonts w:ascii="仿宋" w:hAnsi="仿宋" w:eastAsia="仿宋" w:cs="仿宋"/>
          <w:spacing w:val="5"/>
          <w:sz w:val="31"/>
          <w:szCs w:val="31"/>
        </w:rPr>
        <w:t>（四）参赛选手须知。</w:t>
      </w:r>
    </w:p>
    <w:p w14:paraId="0CD4E7A9">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1.参赛选手报到后，凭身份证领取参赛证。参赛证为选手参赛的凭据。参赛选手一经确认，中途不得任意更换，否则以作弊论处，其所在参赛队不得参与团体奖项的排名。</w:t>
      </w:r>
    </w:p>
    <w:p w14:paraId="6F7844F9">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2.参赛选手应持参赛有效证件，按竞赛顺序、项目场次和竞赛时间，提前30分钟到各考核项目指定地点接受检录等。</w:t>
      </w:r>
    </w:p>
    <w:p w14:paraId="460F19C0">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3.检录后的选手，应在工作人员的引进下，提前15分钟到达竞赛现场，从竞赛计时开始，比赛开始15分钟后，选手未到即取消该项目的参赛资格。</w:t>
      </w:r>
    </w:p>
    <w:p w14:paraId="27E0AA5A">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4.参赛选手进入赛场，应佩戴参赛证</w:t>
      </w:r>
      <w:r>
        <w:rPr>
          <w:rFonts w:hint="eastAsia" w:ascii="仿宋" w:hAnsi="仿宋" w:eastAsia="仿宋" w:cs="仿宋"/>
          <w:spacing w:val="5"/>
          <w:sz w:val="31"/>
          <w:szCs w:val="31"/>
          <w:lang w:eastAsia="zh-CN"/>
        </w:rPr>
        <w:t>，</w:t>
      </w:r>
      <w:r>
        <w:rPr>
          <w:rFonts w:ascii="仿宋" w:hAnsi="仿宋" w:eastAsia="仿宋" w:cs="仿宋"/>
          <w:spacing w:val="5"/>
          <w:sz w:val="31"/>
          <w:szCs w:val="31"/>
        </w:rPr>
        <w:t>做到衣着整洁，符合安全生产及竞赛要求。</w:t>
      </w:r>
    </w:p>
    <w:p w14:paraId="4626D4EA">
      <w:pPr>
        <w:spacing w:before="175" w:line="316" w:lineRule="auto"/>
        <w:ind w:right="60" w:firstLine="640" w:firstLineChars="200"/>
        <w:rPr>
          <w:rFonts w:hint="eastAsia" w:ascii="仿宋" w:hAnsi="仿宋" w:eastAsia="仿宋" w:cs="仿宋"/>
          <w:spacing w:val="5"/>
          <w:sz w:val="31"/>
          <w:szCs w:val="31"/>
          <w:lang w:eastAsia="zh-CN"/>
        </w:rPr>
      </w:pPr>
      <w:r>
        <w:rPr>
          <w:rFonts w:ascii="仿宋" w:hAnsi="仿宋" w:eastAsia="仿宋" w:cs="仿宋"/>
          <w:spacing w:val="5"/>
          <w:sz w:val="31"/>
          <w:szCs w:val="31"/>
        </w:rPr>
        <w:t>5.比赛需连续进行，比赛一旦计时开始不能无故终止比赛。比赛过程中，参赛选手必须严格遵守竞赛纪律，并接受裁判员的监督和警示。若比赛过程中出现设备问题，由裁判长视具体情况</w:t>
      </w:r>
      <w:r>
        <w:rPr>
          <w:rFonts w:hint="eastAsia" w:ascii="仿宋" w:hAnsi="仿宋" w:eastAsia="仿宋" w:cs="仿宋"/>
          <w:spacing w:val="5"/>
          <w:sz w:val="31"/>
          <w:szCs w:val="31"/>
          <w:lang w:eastAsia="zh-CN"/>
        </w:rPr>
        <w:t>作出</w:t>
      </w:r>
      <w:r>
        <w:rPr>
          <w:rFonts w:ascii="仿宋" w:hAnsi="仿宋" w:eastAsia="仿宋" w:cs="仿宋"/>
          <w:spacing w:val="5"/>
          <w:sz w:val="31"/>
          <w:szCs w:val="31"/>
        </w:rPr>
        <w:t>裁决，并现场记录予以加时</w:t>
      </w:r>
      <w:r>
        <w:rPr>
          <w:rFonts w:hint="eastAsia" w:ascii="仿宋" w:hAnsi="仿宋" w:eastAsia="仿宋" w:cs="仿宋"/>
          <w:spacing w:val="5"/>
          <w:sz w:val="31"/>
          <w:szCs w:val="31"/>
          <w:lang w:eastAsia="zh-CN"/>
        </w:rPr>
        <w:t>。</w:t>
      </w:r>
    </w:p>
    <w:p w14:paraId="439C7F9A">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6.参赛选手应认真阅读各项目竞赛操作须知，自觉遵守赛场纪律，按竞赛规则、项目与赛场要求进行竞赛，没有事先报备和允许，不得携带任何书面或电子资料、U盘、手机等通讯设备进入赛场，不得有任何舞弊行为，否则视情节轻重执行赛场纪律。</w:t>
      </w:r>
    </w:p>
    <w:p w14:paraId="18334AB9">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7.竞赛期间，竞赛选手应服从裁判评判，若对裁判评分产生异议，不得与裁判争执、顶撞。</w:t>
      </w:r>
    </w:p>
    <w:p w14:paraId="6548881A">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8.参赛选手如提前完成项目展示，应在指定的区域等待，经裁判同意方可离开赛场。</w:t>
      </w:r>
    </w:p>
    <w:p w14:paraId="7E79FF8A">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9.竞赛过程中如因竞赛设备或检测仪器发生故障，应及时报告裁判，不得私自处理，否则取消本场次比赛资格。</w:t>
      </w:r>
    </w:p>
    <w:p w14:paraId="42D10577">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10.竞赛过程中，不得以任何方式泄露参赛学校、选手姓名等涉及竞赛场上应该保密的信息，否则取消评分资格。</w:t>
      </w:r>
    </w:p>
    <w:p w14:paraId="3769C553">
      <w:pPr>
        <w:spacing w:before="175" w:line="316" w:lineRule="auto"/>
        <w:ind w:right="60" w:firstLine="640" w:firstLineChars="200"/>
        <w:rPr>
          <w:rFonts w:ascii="仿宋" w:hAnsi="仿宋" w:eastAsia="仿宋" w:cs="仿宋"/>
          <w:spacing w:val="5"/>
          <w:sz w:val="31"/>
          <w:szCs w:val="31"/>
        </w:rPr>
      </w:pPr>
      <w:r>
        <w:rPr>
          <w:rFonts w:ascii="仿宋" w:hAnsi="仿宋" w:eastAsia="仿宋" w:cs="仿宋"/>
          <w:spacing w:val="5"/>
          <w:sz w:val="31"/>
          <w:szCs w:val="31"/>
        </w:rPr>
        <w:t>11.技能大赛参赛作品的版权归大赛组委会所有</w:t>
      </w:r>
      <w:r>
        <w:rPr>
          <w:rFonts w:hint="eastAsia" w:ascii="仿宋" w:hAnsi="仿宋" w:eastAsia="仿宋" w:cs="仿宋"/>
          <w:spacing w:val="5"/>
          <w:sz w:val="31"/>
          <w:szCs w:val="31"/>
          <w:lang w:eastAsia="zh-CN"/>
        </w:rPr>
        <w:t>，</w:t>
      </w:r>
      <w:r>
        <w:rPr>
          <w:rFonts w:ascii="仿宋" w:hAnsi="仿宋" w:eastAsia="仿宋" w:cs="仿宋"/>
          <w:spacing w:val="5"/>
          <w:sz w:val="31"/>
          <w:szCs w:val="31"/>
        </w:rPr>
        <w:t>由大赛组委会统一使用与管理。</w:t>
      </w:r>
    </w:p>
    <w:p w14:paraId="05062023">
      <w:pPr>
        <w:spacing w:before="209" w:line="228" w:lineRule="auto"/>
        <w:ind w:left="634"/>
        <w:outlineLvl w:val="0"/>
        <w:rPr>
          <w:rFonts w:ascii="黑体" w:hAnsi="黑体" w:eastAsia="黑体" w:cs="黑体"/>
          <w:spacing w:val="8"/>
          <w:sz w:val="31"/>
          <w:szCs w:val="31"/>
        </w:rPr>
      </w:pPr>
      <w:r>
        <w:rPr>
          <w:rFonts w:ascii="黑体" w:hAnsi="黑体" w:eastAsia="黑体" w:cs="黑体"/>
          <w:spacing w:val="8"/>
          <w:sz w:val="31"/>
          <w:szCs w:val="31"/>
        </w:rPr>
        <w:t>十</w:t>
      </w:r>
      <w:r>
        <w:rPr>
          <w:rFonts w:hint="eastAsia" w:ascii="黑体" w:hAnsi="黑体" w:eastAsia="黑体" w:cs="黑体"/>
          <w:spacing w:val="8"/>
          <w:sz w:val="31"/>
          <w:szCs w:val="31"/>
          <w:lang w:val="en-US" w:eastAsia="zh-CN"/>
        </w:rPr>
        <w:t>三</w:t>
      </w:r>
      <w:r>
        <w:rPr>
          <w:rFonts w:ascii="黑体" w:hAnsi="黑体" w:eastAsia="黑体" w:cs="黑体"/>
          <w:spacing w:val="8"/>
          <w:sz w:val="31"/>
          <w:szCs w:val="31"/>
        </w:rPr>
        <w:t>、本竞赛项目的最终解释权归大赛组委会。</w:t>
      </w:r>
    </w:p>
    <w:p w14:paraId="5634DFB0">
      <w:pPr>
        <w:spacing w:before="175" w:line="316" w:lineRule="auto"/>
        <w:ind w:right="60"/>
        <w:rPr>
          <w:rFonts w:ascii="仿宋" w:hAnsi="仿宋" w:eastAsia="仿宋" w:cs="仿宋"/>
          <w:b/>
          <w:bCs/>
          <w:spacing w:val="5"/>
          <w:sz w:val="31"/>
          <w:szCs w:val="31"/>
        </w:rPr>
      </w:pPr>
    </w:p>
    <w:p w14:paraId="1D9F966A">
      <w:pPr>
        <w:spacing w:before="175" w:line="316" w:lineRule="auto"/>
        <w:ind w:right="60"/>
        <w:rPr>
          <w:rFonts w:ascii="仿宋" w:hAnsi="仿宋" w:eastAsia="仿宋" w:cs="仿宋"/>
          <w:b/>
          <w:bCs/>
          <w:spacing w:val="5"/>
          <w:sz w:val="31"/>
          <w:szCs w:val="31"/>
        </w:rPr>
      </w:pPr>
    </w:p>
    <w:p w14:paraId="47023E78">
      <w:pPr>
        <w:spacing w:before="175" w:line="316" w:lineRule="auto"/>
        <w:ind w:right="60"/>
        <w:rPr>
          <w:rFonts w:ascii="仿宋" w:hAnsi="仿宋" w:eastAsia="仿宋" w:cs="仿宋"/>
          <w:b/>
          <w:bCs/>
          <w:spacing w:val="5"/>
          <w:sz w:val="31"/>
          <w:szCs w:val="31"/>
        </w:rPr>
      </w:pPr>
    </w:p>
    <w:p w14:paraId="56094E12">
      <w:pPr>
        <w:spacing w:before="175" w:line="316" w:lineRule="auto"/>
        <w:ind w:right="60"/>
        <w:rPr>
          <w:rFonts w:ascii="仿宋" w:hAnsi="仿宋" w:eastAsia="仿宋" w:cs="仿宋"/>
          <w:b/>
          <w:bCs/>
          <w:spacing w:val="5"/>
          <w:sz w:val="31"/>
          <w:szCs w:val="31"/>
        </w:rPr>
      </w:pPr>
    </w:p>
    <w:p w14:paraId="5C045930">
      <w:pPr>
        <w:spacing w:before="175" w:line="316" w:lineRule="auto"/>
        <w:ind w:right="60"/>
        <w:rPr>
          <w:rFonts w:ascii="仿宋" w:hAnsi="仿宋" w:eastAsia="仿宋" w:cs="仿宋"/>
          <w:b/>
          <w:bCs/>
          <w:spacing w:val="5"/>
          <w:sz w:val="31"/>
          <w:szCs w:val="31"/>
        </w:rPr>
      </w:pPr>
    </w:p>
    <w:p w14:paraId="72FA2E62">
      <w:pPr>
        <w:spacing w:before="175" w:line="316" w:lineRule="auto"/>
        <w:ind w:right="60"/>
        <w:rPr>
          <w:rFonts w:ascii="仿宋" w:hAnsi="仿宋" w:eastAsia="仿宋" w:cs="仿宋"/>
          <w:b/>
          <w:bCs/>
          <w:spacing w:val="5"/>
          <w:sz w:val="31"/>
          <w:szCs w:val="31"/>
        </w:rPr>
      </w:pPr>
    </w:p>
    <w:p w14:paraId="53BDF4A6">
      <w:pPr>
        <w:spacing w:before="175" w:line="316" w:lineRule="auto"/>
        <w:ind w:right="60"/>
        <w:rPr>
          <w:rFonts w:ascii="仿宋" w:hAnsi="仿宋" w:eastAsia="仿宋" w:cs="仿宋"/>
          <w:b/>
          <w:bCs/>
          <w:spacing w:val="5"/>
          <w:sz w:val="31"/>
          <w:szCs w:val="31"/>
        </w:rPr>
      </w:pPr>
    </w:p>
    <w:p w14:paraId="768731FF">
      <w:pPr>
        <w:spacing w:before="175" w:line="316" w:lineRule="auto"/>
        <w:ind w:right="60"/>
        <w:rPr>
          <w:rFonts w:hint="eastAsia" w:ascii="仿宋" w:hAnsi="仿宋" w:eastAsia="仿宋" w:cs="仿宋"/>
          <w:b/>
          <w:bCs/>
          <w:spacing w:val="5"/>
          <w:sz w:val="31"/>
          <w:szCs w:val="31"/>
          <w:lang w:eastAsia="zh-CN"/>
        </w:rPr>
      </w:pPr>
    </w:p>
    <w:sectPr>
      <w:pgSz w:w="11906" w:h="16839"/>
      <w:pgMar w:top="1431" w:right="1407" w:bottom="0" w:left="1607"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5AE55"/>
    <w:multiLevelType w:val="singleLevel"/>
    <w:tmpl w:val="8135AE55"/>
    <w:lvl w:ilvl="0" w:tentative="0">
      <w:start w:val="1"/>
      <w:numFmt w:val="decimal"/>
      <w:lvlText w:val="%1."/>
      <w:lvlJc w:val="left"/>
      <w:pPr>
        <w:tabs>
          <w:tab w:val="left" w:pos="312"/>
        </w:tabs>
        <w:ind w:left="210"/>
      </w:pPr>
    </w:lvl>
  </w:abstractNum>
  <w:abstractNum w:abstractNumId="1">
    <w:nsid w:val="0C994D79"/>
    <w:multiLevelType w:val="singleLevel"/>
    <w:tmpl w:val="0C994D79"/>
    <w:lvl w:ilvl="0" w:tentative="0">
      <w:start w:val="1"/>
      <w:numFmt w:val="decimal"/>
      <w:lvlText w:val="%1."/>
      <w:lvlJc w:val="left"/>
      <w:pPr>
        <w:tabs>
          <w:tab w:val="left" w:pos="312"/>
        </w:tabs>
        <w:ind w:left="210"/>
      </w:pPr>
    </w:lvl>
  </w:abstractNum>
  <w:abstractNum w:abstractNumId="2">
    <w:nsid w:val="6685F018"/>
    <w:multiLevelType w:val="singleLevel"/>
    <w:tmpl w:val="6685F018"/>
    <w:lvl w:ilvl="0" w:tentative="0">
      <w:start w:val="1"/>
      <w:numFmt w:val="chineseCounting"/>
      <w:suff w:val="nothing"/>
      <w:lvlText w:val="%1、"/>
      <w:lvlJc w:val="left"/>
      <w:rPr>
        <w:rFonts w:hint="eastAsia"/>
      </w:rPr>
    </w:lvl>
  </w:abstractNum>
  <w:abstractNum w:abstractNumId="3">
    <w:nsid w:val="7519AB2B"/>
    <w:multiLevelType w:val="singleLevel"/>
    <w:tmpl w:val="7519AB2B"/>
    <w:lvl w:ilvl="0" w:tentative="0">
      <w:start w:val="3"/>
      <w:numFmt w:val="chineseCounting"/>
      <w:lvlText w:val="(%1)"/>
      <w:lvlJc w:val="left"/>
      <w:pPr>
        <w:tabs>
          <w:tab w:val="left" w:pos="312"/>
        </w:tabs>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OWU5NTM4NzhlNzQxOTg5Y2RkMmU4ZDgzYTJkMjIifQ=="/>
  </w:docVars>
  <w:rsids>
    <w:rsidRoot w:val="00000000"/>
    <w:rsid w:val="05357C95"/>
    <w:rsid w:val="0CC62FF2"/>
    <w:rsid w:val="16E6038B"/>
    <w:rsid w:val="196F2449"/>
    <w:rsid w:val="1C345FF0"/>
    <w:rsid w:val="27383550"/>
    <w:rsid w:val="29071D8A"/>
    <w:rsid w:val="3E7415A9"/>
    <w:rsid w:val="474D43C2"/>
    <w:rsid w:val="5A2D4565"/>
    <w:rsid w:val="5B7B1D70"/>
    <w:rsid w:val="5BDF7A49"/>
    <w:rsid w:val="5DB81488"/>
    <w:rsid w:val="5F775C2F"/>
    <w:rsid w:val="6BA77C28"/>
    <w:rsid w:val="6F405B9C"/>
    <w:rsid w:val="70D429B5"/>
    <w:rsid w:val="73DB72A3"/>
    <w:rsid w:val="744523D5"/>
    <w:rsid w:val="755948F2"/>
    <w:rsid w:val="77757675"/>
    <w:rsid w:val="78C167AC"/>
    <w:rsid w:val="CDDB7973"/>
    <w:rsid w:val="F7F6BD5F"/>
    <w:rsid w:val="F7FE7ACB"/>
    <w:rsid w:val="FFB6E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annotation text"/>
    <w:basedOn w:val="1"/>
    <w:qFormat/>
    <w:uiPriority w:val="0"/>
    <w:pPr>
      <w:jc w:val="left"/>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2904</Words>
  <Characters>3361</Characters>
  <TotalTime>10</TotalTime>
  <ScaleCrop>false</ScaleCrop>
  <LinksUpToDate>false</LinksUpToDate>
  <CharactersWithSpaces>3375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2025-02-07T01:53:00Z</dcterms:created>
  <dc:creator>Lenovo</dc:creator>
  <cp:lastModifiedBy>fanfan字萌之</cp:lastModifiedBy>
  <dcterms:modified xsi:type="dcterms:W3CDTF">2025-03-07T07:22:41Z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2025-02-27T17:22:13Z</vt:filetime>
  </property>
  <property fmtid="{D5CDD505-2E9C-101B-9397-08002B2CF9AE}" pid="4" name="KSOTemplateDocerSaveRecord">
    <vt:lpwstr>eyJoZGlkIjoiNDM4MDlkOTY0ZDA2ZWUyMWJmY2U3N2Q5OGY2OTMwNTIiLCJ1c2VySWQiOiIyMzk3OTkzMzgifQ==</vt:lpwstr>
  </property>
  <property fmtid="{D5CDD505-2E9C-101B-9397-08002B2CF9AE}" pid="5" name="KSOProductBuildVer">
    <vt:lpwstr>2052-12.1.0.20305</vt:lpwstr>
  </property>
  <property fmtid="{D5CDD505-2E9C-101B-9397-08002B2CF9AE}" pid="6" name="ICV">
    <vt:lpwstr>C3864CAC9B314B77AFB8DCBBB2398561_13</vt:lpwstr>
  </property>
</Properties>
</file>